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3" w:type="dxa"/>
        <w:tblLook w:val="04A0" w:firstRow="1" w:lastRow="0" w:firstColumn="1" w:lastColumn="0" w:noHBand="0" w:noVBand="1"/>
      </w:tblPr>
      <w:tblGrid>
        <w:gridCol w:w="9398"/>
        <w:gridCol w:w="542"/>
        <w:gridCol w:w="1152"/>
        <w:gridCol w:w="824"/>
        <w:gridCol w:w="289"/>
        <w:gridCol w:w="731"/>
        <w:gridCol w:w="744"/>
        <w:gridCol w:w="1353"/>
      </w:tblGrid>
      <w:tr w:rsidR="003157AC" w:rsidRPr="005A2F7D" w:rsidTr="003813CF">
        <w:trPr>
          <w:trHeight w:val="300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559"/>
        </w:trPr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002D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</w:pPr>
            <w:r w:rsidRPr="005A2F7D"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  <w:t>Concentration in Health Care Administration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002D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</w:pPr>
            <w:r w:rsidRPr="005A2F7D"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  <w:t>Semester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002D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</w:pPr>
            <w:r w:rsidRPr="005A2F7D"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  <w:t>Unit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002D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</w:pPr>
            <w:r w:rsidRPr="005A2F7D">
              <w:rPr>
                <w:rFonts w:ascii="Avenir Next LT Pro" w:eastAsia="Times New Roman" w:hAnsi="Avenir Next LT Pro" w:cs="Calibri"/>
                <w:b/>
                <w:bCs/>
                <w:color w:val="FFFFFF"/>
                <w:sz w:val="31"/>
                <w:szCs w:val="31"/>
              </w:rPr>
              <w:t>Credit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BUAD 205 Accounting for Decision Making (None)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Fall/Spring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BUAD 274 Human Resource Management (None)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ECON 227 Health Economics (ECON 121)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*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PHIL 223 Ethics and Medicine (None)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PHST 101 Health and Society: Introduction to Public Health (None)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Fall/Spring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2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b/>
                <w:bCs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b/>
                <w:bCs/>
                <w:color w:val="000000"/>
                <w:sz w:val="27"/>
                <w:szCs w:val="27"/>
              </w:rPr>
              <w:t>Choose one (1) from: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 xml:space="preserve">  BUAD 264 Foundation of Leadership (None)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72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 xml:space="preserve">  BUAD 324 Training, Development and Performance Management </w:t>
            </w: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br/>
              <w:t xml:space="preserve">  (BUAD 274)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 xml:space="preserve">  BUAD 364 Team Dynamics (BUAD 254 or PSYC 382)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 xml:space="preserve">  BUAD 406 Independent Study in Health Care (see catalog)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Fall/Spring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480"/>
        </w:trPr>
        <w:tc>
          <w:tcPr>
            <w:tcW w:w="9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 xml:space="preserve">  BUAD 416 Internship in Health Care (see catalog)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Fall/Spring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6"/>
                <w:szCs w:val="26"/>
              </w:rPr>
              <w:t> </w:t>
            </w:r>
          </w:p>
        </w:tc>
      </w:tr>
      <w:tr w:rsidR="003157AC" w:rsidRPr="005A2F7D" w:rsidTr="003813CF">
        <w:trPr>
          <w:gridAfter w:val="1"/>
          <w:wAfter w:w="1353" w:type="dxa"/>
          <w:trHeight w:val="315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 xml:space="preserve">  *Course is not offered this academic year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  <w:r w:rsidRPr="005A2F7D"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  <w:t>2023-2024</w:t>
            </w: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jc w:val="center"/>
              <w:rPr>
                <w:rFonts w:ascii="Avenir Next LT Pro" w:eastAsia="Times New Roman" w:hAnsi="Avenir Next LT Pro" w:cs="Calibri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2F7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64A21001" wp14:editId="384CDEE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</wp:posOffset>
                  </wp:positionV>
                  <wp:extent cx="2238375" cy="581025"/>
                  <wp:effectExtent l="0" t="0" r="0" b="9525"/>
                  <wp:wrapNone/>
                  <wp:docPr id="35" name="Picture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B90DE0-9585-401E-8146-52543AB8B5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D9B90DE0-9585-401E-8146-52543AB8B5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712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57AC" w:rsidRPr="005A2F7D" w:rsidTr="003813CF">
        <w:trPr>
          <w:gridAfter w:val="1"/>
          <w:wAfter w:w="1353" w:type="dxa"/>
          <w:trHeight w:val="300"/>
        </w:trPr>
        <w:tc>
          <w:tcPr>
            <w:tcW w:w="9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57AC" w:rsidRPr="005A2F7D" w:rsidRDefault="003157AC" w:rsidP="00381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157AC" w:rsidRDefault="003157AC" w:rsidP="003157AC"/>
    <w:p w:rsidR="003157AC" w:rsidRDefault="003157AC" w:rsidP="003157AC"/>
    <w:p w:rsidR="003157AC" w:rsidRDefault="003157AC" w:rsidP="003157AC"/>
    <w:p w:rsidR="00704295" w:rsidRDefault="00704295">
      <w:bookmarkStart w:id="0" w:name="_GoBack"/>
      <w:bookmarkEnd w:id="0"/>
    </w:p>
    <w:sectPr w:rsidR="00704295" w:rsidSect="003157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AC"/>
    <w:rsid w:val="003157AC"/>
    <w:rsid w:val="0070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21F34-F5A5-42A8-BBA5-CF887D95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Janet</dc:creator>
  <cp:keywords/>
  <dc:description/>
  <cp:lastModifiedBy>Duncan, Janet</cp:lastModifiedBy>
  <cp:revision>1</cp:revision>
  <dcterms:created xsi:type="dcterms:W3CDTF">2023-09-21T14:14:00Z</dcterms:created>
  <dcterms:modified xsi:type="dcterms:W3CDTF">2023-09-21T14:15:00Z</dcterms:modified>
</cp:coreProperties>
</file>