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93EE" w14:textId="77777777" w:rsidR="003E1A49" w:rsidRPr="004B0228" w:rsidRDefault="003E1A49" w:rsidP="003E1A49">
      <w:pPr>
        <w:jc w:val="center"/>
        <w:rPr>
          <w:b/>
          <w:bCs/>
        </w:rPr>
      </w:pPr>
      <w:r w:rsidRPr="004B0228">
        <w:rPr>
          <w:b/>
          <w:bCs/>
        </w:rPr>
        <w:t>INQ (Intellectual Inquiry) Course Checksheet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60"/>
        <w:gridCol w:w="729"/>
        <w:gridCol w:w="805"/>
        <w:gridCol w:w="805"/>
      </w:tblGrid>
      <w:tr w:rsidR="00C84B72" w:rsidRPr="00D24505" w14:paraId="36B86163" w14:textId="490C17D1" w:rsidTr="00C84B72">
        <w:trPr>
          <w:jc w:val="center"/>
        </w:trPr>
        <w:tc>
          <w:tcPr>
            <w:tcW w:w="9899" w:type="dxa"/>
            <w:gridSpan w:val="4"/>
          </w:tcPr>
          <w:p w14:paraId="6FFA8BC8" w14:textId="5E479DDE" w:rsidR="00C84B72" w:rsidRPr="00D24505" w:rsidRDefault="00C84B72" w:rsidP="000D40FC">
            <w:pPr>
              <w:jc w:val="center"/>
              <w:rPr>
                <w:b/>
                <w:bCs/>
              </w:rPr>
            </w:pPr>
            <w:r w:rsidRPr="00D24505">
              <w:rPr>
                <w:b/>
                <w:bCs/>
              </w:rPr>
              <w:t>Courses that grow fundamental skills</w:t>
            </w:r>
          </w:p>
        </w:tc>
      </w:tr>
      <w:tr w:rsidR="00C84B72" w:rsidRPr="00D24505" w14:paraId="0E4BFCF9" w14:textId="5FE2DAF5" w:rsidTr="00C84B72">
        <w:trPr>
          <w:jc w:val="center"/>
        </w:trPr>
        <w:tc>
          <w:tcPr>
            <w:tcW w:w="7560" w:type="dxa"/>
          </w:tcPr>
          <w:p w14:paraId="5A7CD5A6" w14:textId="77777777" w:rsidR="00C84B72" w:rsidRPr="00D24505" w:rsidRDefault="00C84B72" w:rsidP="000D40FC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Course Title</w:t>
            </w:r>
          </w:p>
        </w:tc>
        <w:tc>
          <w:tcPr>
            <w:tcW w:w="729" w:type="dxa"/>
          </w:tcPr>
          <w:p w14:paraId="021D3479" w14:textId="77777777" w:rsidR="00C84B72" w:rsidRPr="00D24505" w:rsidRDefault="00C84B72" w:rsidP="000D40FC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Taken</w:t>
            </w:r>
          </w:p>
        </w:tc>
        <w:tc>
          <w:tcPr>
            <w:tcW w:w="805" w:type="dxa"/>
          </w:tcPr>
          <w:p w14:paraId="3572C067" w14:textId="0882DE76" w:rsidR="00C84B72" w:rsidRPr="00D24505" w:rsidRDefault="00C84B72" w:rsidP="000D40FC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Sub</w:t>
            </w:r>
          </w:p>
        </w:tc>
        <w:tc>
          <w:tcPr>
            <w:tcW w:w="805" w:type="dxa"/>
          </w:tcPr>
          <w:p w14:paraId="4BD0A3F0" w14:textId="77777777" w:rsidR="00C23BDD" w:rsidRDefault="00C23BDD" w:rsidP="00C23BDD">
            <w:pPr>
              <w:jc w:val="center"/>
              <w:rPr>
                <w:i/>
                <w:iCs/>
              </w:rPr>
            </w:pPr>
            <w:r w:rsidRPr="00C84B72">
              <w:rPr>
                <w:i/>
                <w:iCs/>
              </w:rPr>
              <w:t>Trnsfr</w:t>
            </w:r>
          </w:p>
          <w:p w14:paraId="1CF6D846" w14:textId="1E2E04A8" w:rsidR="00C84B72" w:rsidRPr="00C84B72" w:rsidRDefault="00C23BDD" w:rsidP="00C23BDD">
            <w:pPr>
              <w:jc w:val="center"/>
              <w:rPr>
                <w:i/>
                <w:iCs/>
              </w:rPr>
            </w:pPr>
            <w:r w:rsidRPr="00957DC9">
              <w:rPr>
                <w:i/>
                <w:iCs/>
                <w:sz w:val="16"/>
                <w:szCs w:val="16"/>
              </w:rPr>
              <w:t>w/ codes</w:t>
            </w:r>
          </w:p>
        </w:tc>
      </w:tr>
      <w:tr w:rsidR="00C84B72" w:rsidRPr="004A492E" w14:paraId="12DBA151" w14:textId="168163D0" w:rsidTr="00C84B72">
        <w:trPr>
          <w:jc w:val="center"/>
        </w:trPr>
        <w:tc>
          <w:tcPr>
            <w:tcW w:w="7560" w:type="dxa"/>
          </w:tcPr>
          <w:p w14:paraId="1434A6DD" w14:textId="77777777" w:rsidR="00C84B72" w:rsidRPr="004A492E" w:rsidRDefault="00C84B72" w:rsidP="000D40FC">
            <w:r w:rsidRPr="004A492E">
              <w:t>INQ 110 (Intellectual Inquiry - writing)</w:t>
            </w:r>
          </w:p>
        </w:tc>
        <w:tc>
          <w:tcPr>
            <w:tcW w:w="729" w:type="dxa"/>
          </w:tcPr>
          <w:p w14:paraId="42F22DEC" w14:textId="77777777" w:rsidR="00C84B72" w:rsidRPr="004A492E" w:rsidRDefault="00C84B72" w:rsidP="000D40FC"/>
        </w:tc>
        <w:tc>
          <w:tcPr>
            <w:tcW w:w="805" w:type="dxa"/>
          </w:tcPr>
          <w:p w14:paraId="5FD89511" w14:textId="77777777" w:rsidR="00C84B72" w:rsidRPr="004A492E" w:rsidRDefault="00C84B72" w:rsidP="000D40FC"/>
        </w:tc>
        <w:tc>
          <w:tcPr>
            <w:tcW w:w="805" w:type="dxa"/>
          </w:tcPr>
          <w:p w14:paraId="7CDEE492" w14:textId="008B5336" w:rsidR="00C84B72" w:rsidRPr="004A492E" w:rsidRDefault="00C23BDD" w:rsidP="000D40FC">
            <w:r w:rsidRPr="00C23BDD">
              <w:rPr>
                <w:color w:val="767171" w:themeColor="background2" w:themeShade="80"/>
                <w:sz w:val="16"/>
                <w:szCs w:val="16"/>
              </w:rPr>
              <w:t>FS1</w:t>
            </w:r>
          </w:p>
        </w:tc>
      </w:tr>
      <w:tr w:rsidR="00C84B72" w:rsidRPr="004A492E" w14:paraId="31E76F7B" w14:textId="3FD20122" w:rsidTr="00C84B72">
        <w:trPr>
          <w:jc w:val="center"/>
        </w:trPr>
        <w:tc>
          <w:tcPr>
            <w:tcW w:w="7560" w:type="dxa"/>
          </w:tcPr>
          <w:p w14:paraId="0EC868BC" w14:textId="77777777" w:rsidR="00C84B72" w:rsidRPr="004A492E" w:rsidRDefault="00C84B72" w:rsidP="000D40FC">
            <w:r w:rsidRPr="004A492E">
              <w:t>INQ 120 (Living an Examined Life - ethics)</w:t>
            </w:r>
          </w:p>
        </w:tc>
        <w:tc>
          <w:tcPr>
            <w:tcW w:w="729" w:type="dxa"/>
          </w:tcPr>
          <w:p w14:paraId="3966B2A3" w14:textId="77777777" w:rsidR="00C84B72" w:rsidRPr="004A492E" w:rsidRDefault="00C84B72" w:rsidP="000D40FC"/>
        </w:tc>
        <w:tc>
          <w:tcPr>
            <w:tcW w:w="805" w:type="dxa"/>
          </w:tcPr>
          <w:p w14:paraId="33DFF5DA" w14:textId="77777777" w:rsidR="00C84B72" w:rsidRPr="004A492E" w:rsidRDefault="00C84B72" w:rsidP="000D40FC"/>
        </w:tc>
        <w:tc>
          <w:tcPr>
            <w:tcW w:w="805" w:type="dxa"/>
          </w:tcPr>
          <w:p w14:paraId="76824872" w14:textId="3CC285E0" w:rsidR="00C84B72" w:rsidRPr="004A492E" w:rsidRDefault="00C23BDD" w:rsidP="000D40FC">
            <w:r w:rsidRPr="00C23BDD">
              <w:rPr>
                <w:color w:val="767171" w:themeColor="background2" w:themeShade="80"/>
                <w:sz w:val="16"/>
                <w:szCs w:val="16"/>
              </w:rPr>
              <w:t>FS2</w:t>
            </w:r>
          </w:p>
        </w:tc>
      </w:tr>
      <w:tr w:rsidR="00C84B72" w:rsidRPr="004A492E" w14:paraId="5A05DC5E" w14:textId="5D25DD62" w:rsidTr="00C84B72">
        <w:trPr>
          <w:jc w:val="center"/>
        </w:trPr>
        <w:tc>
          <w:tcPr>
            <w:tcW w:w="9899" w:type="dxa"/>
            <w:gridSpan w:val="4"/>
          </w:tcPr>
          <w:p w14:paraId="0394B7C6" w14:textId="77777777" w:rsidR="00C84B72" w:rsidRPr="004A492E" w:rsidRDefault="00C84B72" w:rsidP="000D40FC">
            <w:pPr>
              <w:jc w:val="center"/>
              <w:rPr>
                <w:b/>
                <w:bCs/>
              </w:rPr>
            </w:pPr>
            <w:r w:rsidRPr="004A492E">
              <w:rPr>
                <w:b/>
                <w:bCs/>
              </w:rPr>
              <w:t>Courses that introduce core methodologies</w:t>
            </w:r>
            <w:r>
              <w:rPr>
                <w:b/>
                <w:bCs/>
              </w:rPr>
              <w:t xml:space="preserve"> (“perspectives courses”)</w:t>
            </w:r>
          </w:p>
          <w:p w14:paraId="7B5AD130" w14:textId="77777777" w:rsidR="00C84B72" w:rsidRPr="00152EAE" w:rsidRDefault="00C84B72" w:rsidP="000D40FC">
            <w:pPr>
              <w:jc w:val="center"/>
              <w:rPr>
                <w:i/>
                <w:iCs/>
                <w:sz w:val="20"/>
                <w:szCs w:val="20"/>
              </w:rPr>
            </w:pPr>
            <w:r w:rsidRPr="00152EAE">
              <w:rPr>
                <w:i/>
                <w:iCs/>
                <w:sz w:val="20"/>
                <w:szCs w:val="20"/>
              </w:rPr>
              <w:t xml:space="preserve">You MUST take </w:t>
            </w:r>
            <w:r>
              <w:rPr>
                <w:i/>
                <w:iCs/>
                <w:sz w:val="20"/>
                <w:szCs w:val="20"/>
              </w:rPr>
              <w:t xml:space="preserve">a minimum of </w:t>
            </w:r>
            <w:r w:rsidRPr="00152EAE">
              <w:rPr>
                <w:i/>
                <w:iCs/>
                <w:sz w:val="20"/>
                <w:szCs w:val="20"/>
              </w:rPr>
              <w:t>one INQ labeled course from every color</w:t>
            </w:r>
          </w:p>
          <w:p w14:paraId="6618095C" w14:textId="20F68051" w:rsidR="00C84B72" w:rsidRPr="00152EAE" w:rsidRDefault="00C84B72" w:rsidP="000D40FC">
            <w:pPr>
              <w:jc w:val="center"/>
              <w:rPr>
                <w:i/>
                <w:iCs/>
                <w:sz w:val="20"/>
                <w:szCs w:val="20"/>
              </w:rPr>
            </w:pPr>
            <w:r w:rsidRPr="00152EAE">
              <w:rPr>
                <w:i/>
                <w:iCs/>
                <w:sz w:val="20"/>
                <w:szCs w:val="20"/>
              </w:rPr>
              <w:t>You MAY substitute up to THREE courses to help fill any of the other slots – compare substitutions with your major, minor, concentration, or your general interests</w:t>
            </w:r>
          </w:p>
          <w:p w14:paraId="10AAD55E" w14:textId="027B59C9" w:rsidR="00C84B72" w:rsidRPr="004A492E" w:rsidRDefault="00C84B72" w:rsidP="000D40FC">
            <w:pPr>
              <w:jc w:val="center"/>
              <w:rPr>
                <w:b/>
                <w:bCs/>
              </w:rPr>
            </w:pPr>
            <w:r w:rsidRPr="00152EAE">
              <w:rPr>
                <w:i/>
                <w:iCs/>
                <w:sz w:val="20"/>
                <w:szCs w:val="20"/>
              </w:rPr>
              <w:t>If you started at RC with transfer credits, you might have different substitutions. Check with your advisor!</w:t>
            </w:r>
          </w:p>
        </w:tc>
      </w:tr>
      <w:tr w:rsidR="00C84B72" w:rsidRPr="00D24505" w14:paraId="6CD9F6E0" w14:textId="5DAED7B7" w:rsidTr="00AD271D">
        <w:trPr>
          <w:jc w:val="center"/>
        </w:trPr>
        <w:tc>
          <w:tcPr>
            <w:tcW w:w="7560" w:type="dxa"/>
            <w:vAlign w:val="center"/>
          </w:tcPr>
          <w:p w14:paraId="2DE3EA86" w14:textId="77777777" w:rsidR="00C84B72" w:rsidRPr="00D24505" w:rsidRDefault="00C84B72" w:rsidP="000D40FC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Course Title</w:t>
            </w:r>
          </w:p>
        </w:tc>
        <w:tc>
          <w:tcPr>
            <w:tcW w:w="729" w:type="dxa"/>
            <w:vAlign w:val="center"/>
          </w:tcPr>
          <w:p w14:paraId="1BA8F17F" w14:textId="77777777" w:rsidR="00C84B72" w:rsidRPr="00D24505" w:rsidRDefault="00C84B72" w:rsidP="000D40FC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Taken</w:t>
            </w:r>
          </w:p>
        </w:tc>
        <w:tc>
          <w:tcPr>
            <w:tcW w:w="805" w:type="dxa"/>
            <w:vAlign w:val="center"/>
          </w:tcPr>
          <w:p w14:paraId="3B454E4F" w14:textId="66DA23B1" w:rsidR="00C84B72" w:rsidRPr="00D24505" w:rsidRDefault="00C84B72" w:rsidP="000D40FC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Sub</w:t>
            </w:r>
          </w:p>
        </w:tc>
        <w:tc>
          <w:tcPr>
            <w:tcW w:w="805" w:type="dxa"/>
            <w:vAlign w:val="center"/>
          </w:tcPr>
          <w:p w14:paraId="39069B9F" w14:textId="77777777" w:rsidR="00C84B72" w:rsidRDefault="00C84B72" w:rsidP="000D40FC">
            <w:pPr>
              <w:jc w:val="center"/>
              <w:rPr>
                <w:i/>
                <w:iCs/>
              </w:rPr>
            </w:pPr>
            <w:r w:rsidRPr="00C84B72">
              <w:rPr>
                <w:i/>
                <w:iCs/>
              </w:rPr>
              <w:t>Trnsfr</w:t>
            </w:r>
          </w:p>
          <w:p w14:paraId="17966358" w14:textId="48DE77D5" w:rsidR="00957DC9" w:rsidRPr="00957DC9" w:rsidRDefault="00957DC9" w:rsidP="000D40FC">
            <w:pPr>
              <w:jc w:val="center"/>
              <w:rPr>
                <w:i/>
                <w:iCs/>
                <w:sz w:val="16"/>
                <w:szCs w:val="16"/>
              </w:rPr>
            </w:pPr>
            <w:r w:rsidRPr="00957DC9">
              <w:rPr>
                <w:i/>
                <w:iCs/>
                <w:sz w:val="16"/>
                <w:szCs w:val="16"/>
              </w:rPr>
              <w:t>w/ codes</w:t>
            </w:r>
          </w:p>
        </w:tc>
      </w:tr>
      <w:tr w:rsidR="00C84B72" w:rsidRPr="004A492E" w14:paraId="2554D7BC" w14:textId="2FC7A7AD" w:rsidTr="1C6219C5">
        <w:trPr>
          <w:jc w:val="center"/>
        </w:trPr>
        <w:tc>
          <w:tcPr>
            <w:tcW w:w="7560" w:type="dxa"/>
            <w:shd w:val="clear" w:color="auto" w:fill="D0CECE" w:themeFill="background2" w:themeFillShade="E6"/>
          </w:tcPr>
          <w:p w14:paraId="00E0E8D7" w14:textId="56BDEAAA" w:rsidR="00C84B72" w:rsidRPr="004A492E" w:rsidRDefault="00C84B72" w:rsidP="000D40FC">
            <w:r w:rsidRPr="004A492E">
              <w:t>INQ 240 (</w:t>
            </w:r>
            <w:r>
              <w:t>statistical reasoning</w:t>
            </w:r>
            <w:r w:rsidRPr="004A492E">
              <w:t>)</w:t>
            </w:r>
          </w:p>
          <w:p w14:paraId="4F511E27" w14:textId="3B49E70A" w:rsidR="00C84B72" w:rsidRPr="0083171B" w:rsidRDefault="00C84B72" w:rsidP="000D40FC">
            <w:pPr>
              <w:rPr>
                <w:i/>
                <w:iCs/>
                <w:u w:val="single"/>
              </w:rPr>
            </w:pPr>
            <w:r w:rsidRPr="004A492E">
              <w:rPr>
                <w:i/>
                <w:iCs/>
              </w:rPr>
              <w:t>M</w:t>
            </w:r>
            <w:r w:rsidRPr="004A492E">
              <w:rPr>
                <w:i/>
                <w:iCs/>
                <w:sz w:val="20"/>
                <w:szCs w:val="20"/>
              </w:rPr>
              <w:t>ay be substituted with a one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4A492E">
              <w:rPr>
                <w:i/>
                <w:iCs/>
                <w:sz w:val="20"/>
                <w:szCs w:val="20"/>
              </w:rPr>
              <w:t>unit course from MATH or STAT</w:t>
            </w:r>
            <w:r w:rsidR="0083171B">
              <w:rPr>
                <w:i/>
                <w:iCs/>
                <w:sz w:val="20"/>
                <w:szCs w:val="20"/>
              </w:rPr>
              <w:t xml:space="preserve"> </w:t>
            </w:r>
            <w:r w:rsidR="0083171B">
              <w:rPr>
                <w:i/>
                <w:iCs/>
                <w:sz w:val="20"/>
                <w:szCs w:val="20"/>
                <w:u w:val="single"/>
              </w:rPr>
              <w:t xml:space="preserve">with the exception of MATH-100, </w:t>
            </w:r>
            <w:r w:rsidR="00C9653B">
              <w:rPr>
                <w:i/>
                <w:iCs/>
                <w:sz w:val="20"/>
                <w:szCs w:val="20"/>
                <w:u w:val="single"/>
              </w:rPr>
              <w:t>which</w:t>
            </w:r>
            <w:r w:rsidR="0083171B">
              <w:rPr>
                <w:i/>
                <w:iCs/>
                <w:sz w:val="20"/>
                <w:szCs w:val="20"/>
                <w:u w:val="single"/>
              </w:rPr>
              <w:t xml:space="preserve"> does not sub</w:t>
            </w:r>
          </w:p>
        </w:tc>
        <w:tc>
          <w:tcPr>
            <w:tcW w:w="729" w:type="dxa"/>
            <w:shd w:val="clear" w:color="auto" w:fill="D0CECE" w:themeFill="background2" w:themeFillShade="E6"/>
          </w:tcPr>
          <w:p w14:paraId="75FE91C9" w14:textId="77777777" w:rsidR="00C84B72" w:rsidRPr="004A492E" w:rsidRDefault="00C84B72" w:rsidP="000D40FC"/>
        </w:tc>
        <w:tc>
          <w:tcPr>
            <w:tcW w:w="805" w:type="dxa"/>
            <w:shd w:val="clear" w:color="auto" w:fill="D0CECE" w:themeFill="background2" w:themeFillShade="E6"/>
          </w:tcPr>
          <w:p w14:paraId="422BCC99" w14:textId="77777777" w:rsidR="00C84B72" w:rsidRPr="004A492E" w:rsidRDefault="00C84B72" w:rsidP="000D40FC"/>
        </w:tc>
        <w:tc>
          <w:tcPr>
            <w:tcW w:w="805" w:type="dxa"/>
            <w:shd w:val="clear" w:color="auto" w:fill="D0CECE" w:themeFill="background2" w:themeFillShade="E6"/>
          </w:tcPr>
          <w:p w14:paraId="614715D3" w14:textId="40AFBD8A" w:rsidR="00C84B72" w:rsidRPr="00BB5881" w:rsidRDefault="00530F03" w:rsidP="000D40FC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MA</w:t>
            </w:r>
            <w:r w:rsidR="00E42547" w:rsidRPr="00BB5881">
              <w:rPr>
                <w:color w:val="767171" w:themeColor="background2" w:themeShade="80"/>
                <w:sz w:val="16"/>
                <w:szCs w:val="16"/>
              </w:rPr>
              <w:t>,</w:t>
            </w:r>
          </w:p>
          <w:p w14:paraId="1978779C" w14:textId="66902C69" w:rsidR="00530F03" w:rsidRPr="00BB5881" w:rsidRDefault="00530F03" w:rsidP="000D40FC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MAG</w:t>
            </w:r>
          </w:p>
        </w:tc>
      </w:tr>
      <w:tr w:rsidR="00C84B72" w:rsidRPr="004A492E" w14:paraId="250D0A96" w14:textId="66F5B40E" w:rsidTr="1C6219C5">
        <w:trPr>
          <w:jc w:val="center"/>
        </w:trPr>
        <w:tc>
          <w:tcPr>
            <w:tcW w:w="7560" w:type="dxa"/>
            <w:shd w:val="clear" w:color="auto" w:fill="D0CECE" w:themeFill="background2" w:themeFillShade="E6"/>
          </w:tcPr>
          <w:p w14:paraId="42E50C15" w14:textId="132053A4" w:rsidR="00C84B72" w:rsidRPr="004A492E" w:rsidRDefault="00C84B72" w:rsidP="000D40FC">
            <w:r w:rsidRPr="004A492E">
              <w:t>INQ 250 (</w:t>
            </w:r>
            <w:r>
              <w:t xml:space="preserve">scientific reasoning I - </w:t>
            </w:r>
            <w:r w:rsidRPr="004A492E">
              <w:t>a lab science)</w:t>
            </w:r>
          </w:p>
          <w:p w14:paraId="680D51BA" w14:textId="77777777" w:rsidR="00C84B72" w:rsidRPr="004A492E" w:rsidRDefault="00C84B72" w:rsidP="5CEDA3AE">
            <w:pPr>
              <w:rPr>
                <w:i/>
                <w:iCs/>
                <w:sz w:val="20"/>
                <w:szCs w:val="20"/>
              </w:rPr>
            </w:pPr>
            <w:r w:rsidRPr="5CEDA3AE">
              <w:rPr>
                <w:i/>
                <w:iCs/>
                <w:sz w:val="20"/>
                <w:szCs w:val="20"/>
              </w:rPr>
              <w:t xml:space="preserve">May be substituted with a course that </w:t>
            </w:r>
            <w:r w:rsidRPr="002D76D5">
              <w:rPr>
                <w:i/>
                <w:iCs/>
                <w:sz w:val="20"/>
                <w:szCs w:val="20"/>
                <w:u w:val="single"/>
              </w:rPr>
              <w:t>i</w:t>
            </w:r>
            <w:r w:rsidRPr="5CEDA3AE">
              <w:rPr>
                <w:i/>
                <w:iCs/>
                <w:sz w:val="20"/>
                <w:szCs w:val="20"/>
                <w:u w:val="single"/>
              </w:rPr>
              <w:t>ncludes a lab f</w:t>
            </w:r>
            <w:r w:rsidRPr="5CEDA3AE">
              <w:rPr>
                <w:i/>
                <w:iCs/>
                <w:sz w:val="20"/>
                <w:szCs w:val="20"/>
              </w:rPr>
              <w:t>rom: BIOL, CHEM, ENSC, or PHYS. Courses from these disciplines without labs will not substitute.</w:t>
            </w:r>
          </w:p>
        </w:tc>
        <w:tc>
          <w:tcPr>
            <w:tcW w:w="729" w:type="dxa"/>
            <w:shd w:val="clear" w:color="auto" w:fill="D0CECE" w:themeFill="background2" w:themeFillShade="E6"/>
          </w:tcPr>
          <w:p w14:paraId="62052D14" w14:textId="77777777" w:rsidR="00C84B72" w:rsidRPr="004A492E" w:rsidRDefault="00C84B72" w:rsidP="000D40FC"/>
        </w:tc>
        <w:tc>
          <w:tcPr>
            <w:tcW w:w="805" w:type="dxa"/>
            <w:shd w:val="clear" w:color="auto" w:fill="D0CECE" w:themeFill="background2" w:themeFillShade="E6"/>
          </w:tcPr>
          <w:p w14:paraId="7B9F304E" w14:textId="77777777" w:rsidR="00C84B72" w:rsidRPr="004A492E" w:rsidRDefault="00C84B72" w:rsidP="000D40FC"/>
        </w:tc>
        <w:tc>
          <w:tcPr>
            <w:tcW w:w="805" w:type="dxa"/>
            <w:shd w:val="clear" w:color="auto" w:fill="D0CECE" w:themeFill="background2" w:themeFillShade="E6"/>
          </w:tcPr>
          <w:p w14:paraId="7B096588" w14:textId="3F9F8C62" w:rsidR="00C84B72" w:rsidRPr="00BB5881" w:rsidRDefault="00530F03" w:rsidP="000D40FC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LB, LC, LP, LG, LL</w:t>
            </w:r>
          </w:p>
        </w:tc>
      </w:tr>
      <w:tr w:rsidR="00C84B72" w:rsidRPr="004A492E" w14:paraId="28936F16" w14:textId="4DC00DA3" w:rsidTr="1C6219C5">
        <w:trPr>
          <w:jc w:val="center"/>
        </w:trPr>
        <w:tc>
          <w:tcPr>
            <w:tcW w:w="7560" w:type="dxa"/>
            <w:shd w:val="clear" w:color="auto" w:fill="D0CECE" w:themeFill="background2" w:themeFillShade="E6"/>
          </w:tcPr>
          <w:p w14:paraId="005BE5DA" w14:textId="77777777" w:rsidR="00C84B72" w:rsidRPr="004A492E" w:rsidRDefault="00C84B72" w:rsidP="000D40FC">
            <w:r w:rsidRPr="004A492E">
              <w:t>INQ 241 OR INQ 251 (mathematical or scientific reasoning</w:t>
            </w:r>
            <w:r>
              <w:t xml:space="preserve"> II</w:t>
            </w:r>
            <w:r w:rsidRPr="004A492E">
              <w:t>)</w:t>
            </w:r>
          </w:p>
          <w:p w14:paraId="608D8900" w14:textId="2BA5655D" w:rsidR="00C84B72" w:rsidRPr="004A492E" w:rsidRDefault="00C84B72" w:rsidP="5CEDA3AE">
            <w:pPr>
              <w:rPr>
                <w:i/>
                <w:iCs/>
                <w:sz w:val="20"/>
                <w:szCs w:val="20"/>
              </w:rPr>
            </w:pPr>
            <w:r w:rsidRPr="5CEDA3AE">
              <w:rPr>
                <w:i/>
                <w:iCs/>
                <w:sz w:val="20"/>
                <w:szCs w:val="20"/>
              </w:rPr>
              <w:t>May be substituted with a one-unit course from MATH, STAT, or CPSC [for INQ 241] or BIOL, CHEM, ENSC (not ENST!), or PHYS [for INQ 251]. If the course includes a lab, it can still sub</w:t>
            </w:r>
          </w:p>
        </w:tc>
        <w:tc>
          <w:tcPr>
            <w:tcW w:w="729" w:type="dxa"/>
            <w:shd w:val="clear" w:color="auto" w:fill="D0CECE" w:themeFill="background2" w:themeFillShade="E6"/>
          </w:tcPr>
          <w:p w14:paraId="30CDB6AB" w14:textId="77777777" w:rsidR="00C84B72" w:rsidRPr="004A492E" w:rsidRDefault="00C84B72" w:rsidP="000D40FC"/>
        </w:tc>
        <w:tc>
          <w:tcPr>
            <w:tcW w:w="805" w:type="dxa"/>
            <w:shd w:val="clear" w:color="auto" w:fill="D0CECE" w:themeFill="background2" w:themeFillShade="E6"/>
          </w:tcPr>
          <w:p w14:paraId="5EE59509" w14:textId="77777777" w:rsidR="00C84B72" w:rsidRPr="004A492E" w:rsidRDefault="00C84B72" w:rsidP="000D40FC"/>
        </w:tc>
        <w:tc>
          <w:tcPr>
            <w:tcW w:w="805" w:type="dxa"/>
            <w:shd w:val="clear" w:color="auto" w:fill="D0CECE" w:themeFill="background2" w:themeFillShade="E6"/>
          </w:tcPr>
          <w:p w14:paraId="5BD81808" w14:textId="5289EB66" w:rsidR="00C84B72" w:rsidRPr="00BB5881" w:rsidRDefault="00530F03" w:rsidP="000D40FC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MA, MAG, LB, LC, LP, LL, NL</w:t>
            </w:r>
          </w:p>
        </w:tc>
      </w:tr>
      <w:tr w:rsidR="00C84B72" w:rsidRPr="004A492E" w14:paraId="365B793F" w14:textId="345E6CC3" w:rsidTr="00C84B72">
        <w:trPr>
          <w:jc w:val="center"/>
        </w:trPr>
        <w:tc>
          <w:tcPr>
            <w:tcW w:w="7560" w:type="dxa"/>
            <w:shd w:val="clear" w:color="auto" w:fill="4BD0FF"/>
          </w:tcPr>
          <w:p w14:paraId="3B195949" w14:textId="77777777" w:rsidR="00C84B72" w:rsidRPr="004A492E" w:rsidRDefault="00C84B72" w:rsidP="000D40FC">
            <w:r w:rsidRPr="004A492E">
              <w:t>INQ 260 in one discipline (social science 1)</w:t>
            </w:r>
          </w:p>
          <w:p w14:paraId="56832B7F" w14:textId="06E2CD80" w:rsidR="00C84B72" w:rsidRPr="004A492E" w:rsidRDefault="00C84B72" w:rsidP="5CEDA3AE">
            <w:pPr>
              <w:rPr>
                <w:i/>
                <w:iCs/>
                <w:sz w:val="20"/>
                <w:szCs w:val="20"/>
              </w:rPr>
            </w:pPr>
            <w:r w:rsidRPr="5CEDA3AE">
              <w:rPr>
                <w:i/>
                <w:iCs/>
                <w:sz w:val="20"/>
                <w:szCs w:val="20"/>
              </w:rPr>
              <w:t xml:space="preserve">May be substituted with a course from ANTH, COMM, CJUS, ECON, GEOG, IR, </w:t>
            </w:r>
            <w:r>
              <w:rPr>
                <w:i/>
                <w:iCs/>
                <w:sz w:val="20"/>
                <w:szCs w:val="20"/>
              </w:rPr>
              <w:t>POLI</w:t>
            </w:r>
            <w:r w:rsidRPr="5CEDA3AE">
              <w:rPr>
                <w:i/>
                <w:iCs/>
                <w:sz w:val="20"/>
                <w:szCs w:val="20"/>
              </w:rPr>
              <w:t xml:space="preserve">, PSYC, PHST, SOCI, or with </w:t>
            </w:r>
            <w:r w:rsidRPr="002D76D5">
              <w:rPr>
                <w:i/>
                <w:sz w:val="20"/>
                <w:szCs w:val="20"/>
              </w:rPr>
              <w:t>ENST 105</w:t>
            </w:r>
            <w:r w:rsidRPr="5CEDA3AE">
              <w:rPr>
                <w:sz w:val="20"/>
                <w:szCs w:val="20"/>
              </w:rPr>
              <w:t xml:space="preserve"> or </w:t>
            </w:r>
            <w:r w:rsidRPr="5CEDA3AE">
              <w:rPr>
                <w:i/>
                <w:iCs/>
                <w:sz w:val="20"/>
                <w:szCs w:val="20"/>
              </w:rPr>
              <w:t>EDUC 300.</w:t>
            </w:r>
          </w:p>
        </w:tc>
        <w:tc>
          <w:tcPr>
            <w:tcW w:w="729" w:type="dxa"/>
            <w:shd w:val="clear" w:color="auto" w:fill="4BD0FF"/>
          </w:tcPr>
          <w:p w14:paraId="01288926" w14:textId="77777777" w:rsidR="00C84B72" w:rsidRPr="004A492E" w:rsidRDefault="00C84B72" w:rsidP="000D40FC"/>
        </w:tc>
        <w:tc>
          <w:tcPr>
            <w:tcW w:w="805" w:type="dxa"/>
            <w:shd w:val="clear" w:color="auto" w:fill="4BD0FF"/>
          </w:tcPr>
          <w:p w14:paraId="0B221A66" w14:textId="77777777" w:rsidR="00C84B72" w:rsidRPr="004A492E" w:rsidRDefault="00C84B72" w:rsidP="000D40FC"/>
        </w:tc>
        <w:tc>
          <w:tcPr>
            <w:tcW w:w="805" w:type="dxa"/>
            <w:shd w:val="clear" w:color="auto" w:fill="4BD0FF"/>
          </w:tcPr>
          <w:p w14:paraId="257F3235" w14:textId="1BC1F907" w:rsidR="00C84B72" w:rsidRPr="00BB5881" w:rsidRDefault="00530F03" w:rsidP="000D40FC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SE, SEG, SP, SPG, SS, SSG, SG, SGG, SO, SOG</w:t>
            </w:r>
          </w:p>
        </w:tc>
      </w:tr>
      <w:tr w:rsidR="00184997" w:rsidRPr="004A492E" w14:paraId="29D3D3C7" w14:textId="2344A7F3" w:rsidTr="00C84B72">
        <w:trPr>
          <w:jc w:val="center"/>
        </w:trPr>
        <w:tc>
          <w:tcPr>
            <w:tcW w:w="7560" w:type="dxa"/>
            <w:shd w:val="clear" w:color="auto" w:fill="4BD0FF"/>
          </w:tcPr>
          <w:p w14:paraId="6E474215" w14:textId="77777777" w:rsidR="00184997" w:rsidRPr="004A492E" w:rsidRDefault="00184997" w:rsidP="00184997">
            <w:r w:rsidRPr="004A492E">
              <w:t>INQ 260 in a second discipline (social science 2)</w:t>
            </w:r>
          </w:p>
          <w:p w14:paraId="3EBF2035" w14:textId="032E74A2" w:rsidR="00184997" w:rsidRPr="004A492E" w:rsidRDefault="00184997" w:rsidP="00184997">
            <w:pPr>
              <w:rPr>
                <w:i/>
                <w:iCs/>
                <w:sz w:val="20"/>
                <w:szCs w:val="20"/>
              </w:rPr>
            </w:pPr>
            <w:r w:rsidRPr="5CEDA3AE">
              <w:rPr>
                <w:i/>
                <w:iCs/>
                <w:sz w:val="20"/>
                <w:szCs w:val="20"/>
              </w:rPr>
              <w:t xml:space="preserve">May be substituted with a course from ANTH, COMM, CJUS, ECON, GEOG, IR, </w:t>
            </w:r>
            <w:r>
              <w:rPr>
                <w:i/>
                <w:iCs/>
                <w:sz w:val="20"/>
                <w:szCs w:val="20"/>
              </w:rPr>
              <w:t>POLI</w:t>
            </w:r>
            <w:r w:rsidRPr="5CEDA3AE">
              <w:rPr>
                <w:i/>
                <w:iCs/>
                <w:sz w:val="20"/>
                <w:szCs w:val="20"/>
              </w:rPr>
              <w:t>, PSYC, PHST, SOCI, or with ENST 105 or EDUC 300. Note that your second INQ 260 or sub cannot replicate the discipline of the INQ 260 you do take</w:t>
            </w:r>
          </w:p>
        </w:tc>
        <w:tc>
          <w:tcPr>
            <w:tcW w:w="729" w:type="dxa"/>
            <w:shd w:val="clear" w:color="auto" w:fill="4BD0FF"/>
          </w:tcPr>
          <w:p w14:paraId="45435F67" w14:textId="77777777" w:rsidR="00184997" w:rsidRPr="004A492E" w:rsidRDefault="00184997" w:rsidP="00184997"/>
        </w:tc>
        <w:tc>
          <w:tcPr>
            <w:tcW w:w="805" w:type="dxa"/>
            <w:shd w:val="clear" w:color="auto" w:fill="4BD0FF"/>
          </w:tcPr>
          <w:p w14:paraId="44AFDD91" w14:textId="77777777" w:rsidR="00184997" w:rsidRPr="004A492E" w:rsidRDefault="00184997" w:rsidP="00184997"/>
        </w:tc>
        <w:tc>
          <w:tcPr>
            <w:tcW w:w="805" w:type="dxa"/>
            <w:shd w:val="clear" w:color="auto" w:fill="4BD0FF"/>
          </w:tcPr>
          <w:p w14:paraId="1BEBDC89" w14:textId="132E44A6" w:rsidR="00184997" w:rsidRPr="00BB5881" w:rsidRDefault="00184997" w:rsidP="00184997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SE, SEG, SP, SPG, SS, SSG, SG, SGG, SO, SOG</w:t>
            </w:r>
          </w:p>
        </w:tc>
      </w:tr>
      <w:tr w:rsidR="00184997" w:rsidRPr="004A492E" w14:paraId="071629FE" w14:textId="0064A4E7" w:rsidTr="1C6219C5">
        <w:trPr>
          <w:jc w:val="center"/>
        </w:trPr>
        <w:tc>
          <w:tcPr>
            <w:tcW w:w="7560" w:type="dxa"/>
            <w:shd w:val="clear" w:color="auto" w:fill="FFFF00"/>
          </w:tcPr>
          <w:p w14:paraId="3E703370" w14:textId="77777777" w:rsidR="00184997" w:rsidRPr="004A492E" w:rsidRDefault="00184997" w:rsidP="00184997">
            <w:r w:rsidRPr="004A492E">
              <w:t>INQ 270 (humanities, before 1500 AD)</w:t>
            </w:r>
          </w:p>
          <w:p w14:paraId="717227BA" w14:textId="1AFA51BA" w:rsidR="00184997" w:rsidRPr="004A492E" w:rsidRDefault="00184997" w:rsidP="00184997">
            <w:pPr>
              <w:rPr>
                <w:i/>
                <w:iCs/>
                <w:sz w:val="20"/>
                <w:szCs w:val="20"/>
              </w:rPr>
            </w:pPr>
            <w:r w:rsidRPr="004A492E">
              <w:rPr>
                <w:i/>
                <w:iCs/>
                <w:sz w:val="20"/>
                <w:szCs w:val="20"/>
              </w:rPr>
              <w:t>May be substituted with any humanities course covering pre-1500 AD</w:t>
            </w:r>
            <w:r>
              <w:rPr>
                <w:i/>
                <w:iCs/>
                <w:sz w:val="20"/>
                <w:szCs w:val="20"/>
              </w:rPr>
              <w:t xml:space="preserve">. This list fluctuates. </w:t>
            </w:r>
            <w:hyperlink r:id="rId10" w:history="1">
              <w:r w:rsidRPr="002240BF">
                <w:rPr>
                  <w:rStyle w:val="Hyperlink"/>
                  <w:i/>
                  <w:iCs/>
                  <w:sz w:val="20"/>
                  <w:szCs w:val="20"/>
                </w:rPr>
                <w:t>Please see this link for current offerings.</w:t>
              </w:r>
            </w:hyperlink>
          </w:p>
          <w:p w14:paraId="436AF4D2" w14:textId="77777777" w:rsidR="00184997" w:rsidRPr="004A492E" w:rsidRDefault="00184997" w:rsidP="00184997">
            <w:r w:rsidRPr="004A492E">
              <w:rPr>
                <w:i/>
                <w:iCs/>
                <w:sz w:val="20"/>
                <w:szCs w:val="20"/>
              </w:rPr>
              <w:t>Note that courses must have a time period focus to sub for either INQ 270 or INQ 271</w:t>
            </w:r>
            <w:r w:rsidRPr="004A492E">
              <w:rPr>
                <w:i/>
                <w:iCs/>
              </w:rPr>
              <w:t>.</w:t>
            </w:r>
          </w:p>
        </w:tc>
        <w:tc>
          <w:tcPr>
            <w:tcW w:w="729" w:type="dxa"/>
            <w:shd w:val="clear" w:color="auto" w:fill="FFFF00"/>
          </w:tcPr>
          <w:p w14:paraId="793EE5A4" w14:textId="77777777" w:rsidR="00184997" w:rsidRPr="004A492E" w:rsidRDefault="00184997" w:rsidP="00184997"/>
        </w:tc>
        <w:tc>
          <w:tcPr>
            <w:tcW w:w="805" w:type="dxa"/>
            <w:shd w:val="clear" w:color="auto" w:fill="FFFF00"/>
          </w:tcPr>
          <w:p w14:paraId="7CFCBE1C" w14:textId="77777777" w:rsidR="00184997" w:rsidRPr="004A492E" w:rsidRDefault="00184997" w:rsidP="00184997"/>
        </w:tc>
        <w:tc>
          <w:tcPr>
            <w:tcW w:w="805" w:type="dxa"/>
            <w:shd w:val="clear" w:color="auto" w:fill="FFFF00"/>
          </w:tcPr>
          <w:p w14:paraId="3016F4AE" w14:textId="44831DDE" w:rsidR="00184997" w:rsidRPr="00BB5881" w:rsidRDefault="00184997" w:rsidP="00184997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H1, H1G</w:t>
            </w:r>
          </w:p>
        </w:tc>
      </w:tr>
      <w:tr w:rsidR="00184997" w:rsidRPr="004A492E" w14:paraId="061022FF" w14:textId="1B0D6F2F" w:rsidTr="1C6219C5">
        <w:trPr>
          <w:jc w:val="center"/>
        </w:trPr>
        <w:tc>
          <w:tcPr>
            <w:tcW w:w="7560" w:type="dxa"/>
            <w:shd w:val="clear" w:color="auto" w:fill="FFFF00"/>
          </w:tcPr>
          <w:p w14:paraId="7855A573" w14:textId="77777777" w:rsidR="00184997" w:rsidRPr="004A492E" w:rsidRDefault="00184997" w:rsidP="00184997">
            <w:r w:rsidRPr="004A492E">
              <w:t>INQ 271 (humanities, after 1500 AD)</w:t>
            </w:r>
          </w:p>
          <w:p w14:paraId="446819C2" w14:textId="64ABDB21" w:rsidR="00184997" w:rsidRPr="004A492E" w:rsidRDefault="00184997" w:rsidP="00184997">
            <w:pPr>
              <w:rPr>
                <w:i/>
                <w:iCs/>
                <w:sz w:val="20"/>
                <w:szCs w:val="20"/>
              </w:rPr>
            </w:pPr>
            <w:r w:rsidRPr="004A492E">
              <w:rPr>
                <w:i/>
                <w:iCs/>
                <w:sz w:val="20"/>
                <w:szCs w:val="20"/>
              </w:rPr>
              <w:t>May be substituted with any humanities course covering post-1500 AD</w:t>
            </w:r>
            <w:r>
              <w:rPr>
                <w:i/>
                <w:iCs/>
                <w:sz w:val="20"/>
                <w:szCs w:val="20"/>
              </w:rPr>
              <w:t xml:space="preserve">. This list fluctuates. </w:t>
            </w:r>
            <w:hyperlink r:id="rId11" w:history="1">
              <w:r w:rsidRPr="002240BF">
                <w:rPr>
                  <w:rStyle w:val="Hyperlink"/>
                  <w:i/>
                  <w:iCs/>
                  <w:sz w:val="20"/>
                  <w:szCs w:val="20"/>
                </w:rPr>
                <w:t>Please see this link for current offerings.</w:t>
              </w:r>
            </w:hyperlink>
          </w:p>
          <w:p w14:paraId="08B9251E" w14:textId="57C890CE" w:rsidR="00184997" w:rsidRPr="004A492E" w:rsidRDefault="00184997" w:rsidP="00184997">
            <w:pPr>
              <w:rPr>
                <w:i/>
                <w:iCs/>
                <w:sz w:val="20"/>
                <w:szCs w:val="20"/>
              </w:rPr>
            </w:pPr>
            <w:r w:rsidRPr="004A492E">
              <w:rPr>
                <w:i/>
                <w:iCs/>
                <w:sz w:val="20"/>
                <w:szCs w:val="20"/>
              </w:rPr>
              <w:t>Note that courses must have a time period focus to sub for either INQ 270 or INQ 271.</w:t>
            </w:r>
          </w:p>
        </w:tc>
        <w:tc>
          <w:tcPr>
            <w:tcW w:w="729" w:type="dxa"/>
            <w:shd w:val="clear" w:color="auto" w:fill="FFFF00"/>
          </w:tcPr>
          <w:p w14:paraId="41D19896" w14:textId="77777777" w:rsidR="00184997" w:rsidRPr="004A492E" w:rsidRDefault="00184997" w:rsidP="00184997"/>
        </w:tc>
        <w:tc>
          <w:tcPr>
            <w:tcW w:w="805" w:type="dxa"/>
            <w:shd w:val="clear" w:color="auto" w:fill="FFFF00"/>
          </w:tcPr>
          <w:p w14:paraId="20D77E2C" w14:textId="77777777" w:rsidR="00184997" w:rsidRPr="004A492E" w:rsidRDefault="00184997" w:rsidP="00184997"/>
        </w:tc>
        <w:tc>
          <w:tcPr>
            <w:tcW w:w="805" w:type="dxa"/>
            <w:shd w:val="clear" w:color="auto" w:fill="FFFF00"/>
          </w:tcPr>
          <w:p w14:paraId="6D6F2361" w14:textId="0636F95F" w:rsidR="00184997" w:rsidRPr="00BB5881" w:rsidRDefault="00184997" w:rsidP="00184997">
            <w:pPr>
              <w:rPr>
                <w:color w:val="767171" w:themeColor="background2" w:themeShade="80"/>
                <w:sz w:val="16"/>
                <w:szCs w:val="16"/>
              </w:rPr>
            </w:pPr>
            <w:r w:rsidRPr="00BB5881">
              <w:rPr>
                <w:color w:val="767171" w:themeColor="background2" w:themeShade="80"/>
                <w:sz w:val="16"/>
                <w:szCs w:val="16"/>
              </w:rPr>
              <w:t>H2, H2G</w:t>
            </w:r>
          </w:p>
        </w:tc>
      </w:tr>
      <w:tr w:rsidR="00184997" w:rsidRPr="004A492E" w14:paraId="16BD2AF1" w14:textId="63384B9C" w:rsidTr="00C84B72">
        <w:trPr>
          <w:jc w:val="center"/>
        </w:trPr>
        <w:tc>
          <w:tcPr>
            <w:tcW w:w="9094" w:type="dxa"/>
            <w:gridSpan w:val="3"/>
          </w:tcPr>
          <w:p w14:paraId="341B4F47" w14:textId="77777777" w:rsidR="00184997" w:rsidRPr="004A492E" w:rsidRDefault="00184997" w:rsidP="001849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course that ties it all together: t</w:t>
            </w:r>
            <w:r w:rsidRPr="004A492E">
              <w:rPr>
                <w:b/>
                <w:bCs/>
              </w:rPr>
              <w:t>he INQ capstone</w:t>
            </w:r>
          </w:p>
        </w:tc>
        <w:tc>
          <w:tcPr>
            <w:tcW w:w="805" w:type="dxa"/>
          </w:tcPr>
          <w:p w14:paraId="01B997A3" w14:textId="77777777" w:rsidR="00184997" w:rsidRDefault="00184997" w:rsidP="00184997">
            <w:pPr>
              <w:jc w:val="center"/>
              <w:rPr>
                <w:b/>
                <w:bCs/>
              </w:rPr>
            </w:pPr>
          </w:p>
        </w:tc>
      </w:tr>
      <w:tr w:rsidR="00184997" w:rsidRPr="004A492E" w14:paraId="7A3F7FFB" w14:textId="3E89FBAD" w:rsidTr="00C84B72">
        <w:trPr>
          <w:jc w:val="center"/>
        </w:trPr>
        <w:tc>
          <w:tcPr>
            <w:tcW w:w="7560" w:type="dxa"/>
          </w:tcPr>
          <w:p w14:paraId="72251259" w14:textId="77777777" w:rsidR="00184997" w:rsidRPr="004A492E" w:rsidRDefault="00184997" w:rsidP="00184997">
            <w:r w:rsidRPr="004A492E">
              <w:t>INQ 300 (Contemporary Issues)</w:t>
            </w:r>
          </w:p>
          <w:p w14:paraId="133DE662" w14:textId="77777777" w:rsidR="00184997" w:rsidRPr="004A492E" w:rsidRDefault="00184997" w:rsidP="00184997">
            <w:pPr>
              <w:rPr>
                <w:i/>
                <w:iCs/>
                <w:sz w:val="20"/>
                <w:szCs w:val="20"/>
              </w:rPr>
            </w:pPr>
            <w:r w:rsidRPr="004A492E">
              <w:rPr>
                <w:i/>
                <w:iCs/>
                <w:sz w:val="20"/>
                <w:szCs w:val="20"/>
              </w:rPr>
              <w:t>You may only take this after you have finished all 200-level courses and substitutions. It may not be taken in tandem with any of those courses.</w:t>
            </w:r>
          </w:p>
        </w:tc>
        <w:tc>
          <w:tcPr>
            <w:tcW w:w="729" w:type="dxa"/>
          </w:tcPr>
          <w:p w14:paraId="48BBEF6E" w14:textId="77777777" w:rsidR="00184997" w:rsidRPr="004A492E" w:rsidRDefault="00184997" w:rsidP="00184997"/>
        </w:tc>
        <w:tc>
          <w:tcPr>
            <w:tcW w:w="805" w:type="dxa"/>
          </w:tcPr>
          <w:p w14:paraId="6CDD20C8" w14:textId="77777777" w:rsidR="00184997" w:rsidRPr="004A492E" w:rsidRDefault="00184997" w:rsidP="00184997"/>
        </w:tc>
        <w:tc>
          <w:tcPr>
            <w:tcW w:w="805" w:type="dxa"/>
          </w:tcPr>
          <w:p w14:paraId="4E88E248" w14:textId="47436E5E" w:rsidR="00184997" w:rsidRPr="004A492E" w:rsidRDefault="00C23BDD" w:rsidP="00184997">
            <w:r w:rsidRPr="00C23BDD">
              <w:rPr>
                <w:color w:val="767171" w:themeColor="background2" w:themeShade="80"/>
                <w:sz w:val="16"/>
                <w:szCs w:val="16"/>
              </w:rPr>
              <w:t>Cannot transfer</w:t>
            </w:r>
          </w:p>
        </w:tc>
      </w:tr>
      <w:tr w:rsidR="00184997" w:rsidRPr="004A492E" w14:paraId="1A7389DB" w14:textId="30BBACDE" w:rsidTr="00C84B72">
        <w:trPr>
          <w:jc w:val="center"/>
        </w:trPr>
        <w:tc>
          <w:tcPr>
            <w:tcW w:w="9094" w:type="dxa"/>
            <w:gridSpan w:val="3"/>
          </w:tcPr>
          <w:p w14:paraId="711DAC9A" w14:textId="77777777" w:rsidR="00184997" w:rsidRPr="004A492E" w:rsidRDefault="00184997" w:rsidP="001849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Learning intensively and experientially: </w:t>
            </w:r>
            <w:r w:rsidRPr="004A492E">
              <w:rPr>
                <w:b/>
                <w:bCs/>
              </w:rPr>
              <w:t>May Term</w:t>
            </w:r>
          </w:p>
        </w:tc>
        <w:tc>
          <w:tcPr>
            <w:tcW w:w="805" w:type="dxa"/>
          </w:tcPr>
          <w:p w14:paraId="2AE39DB6" w14:textId="77777777" w:rsidR="00184997" w:rsidRDefault="00184997" w:rsidP="00184997">
            <w:pPr>
              <w:jc w:val="center"/>
              <w:rPr>
                <w:b/>
                <w:bCs/>
              </w:rPr>
            </w:pPr>
          </w:p>
        </w:tc>
      </w:tr>
      <w:tr w:rsidR="00184997" w14:paraId="1D1B336A" w14:textId="3C2960C3" w:rsidTr="00C84B72">
        <w:trPr>
          <w:jc w:val="center"/>
        </w:trPr>
        <w:tc>
          <w:tcPr>
            <w:tcW w:w="7560" w:type="dxa"/>
          </w:tcPr>
          <w:p w14:paraId="5D7C5E6A" w14:textId="77777777" w:rsidR="00184997" w:rsidRDefault="00184997" w:rsidP="00184997">
            <w:r>
              <w:t>IL 177/277/377</w:t>
            </w:r>
          </w:p>
          <w:p w14:paraId="073EE9C5" w14:textId="77777777" w:rsidR="00184997" w:rsidRPr="0097767B" w:rsidRDefault="00184997" w:rsidP="00184997">
            <w:pPr>
              <w:rPr>
                <w:i/>
                <w:sz w:val="20"/>
                <w:szCs w:val="20"/>
              </w:rPr>
            </w:pPr>
            <w:r w:rsidRPr="0097767B">
              <w:rPr>
                <w:i/>
                <w:sz w:val="20"/>
                <w:szCs w:val="20"/>
              </w:rPr>
              <w:t xml:space="preserve">Can be substituted with a summer independent study or internship IF it meets the requirements. For details, see </w:t>
            </w:r>
            <w:hyperlink r:id="rId12" w:history="1">
              <w:r w:rsidRPr="0097767B">
                <w:rPr>
                  <w:rStyle w:val="Hyperlink"/>
                  <w:i/>
                  <w:sz w:val="20"/>
                  <w:szCs w:val="20"/>
                </w:rPr>
                <w:t>https://www.roanoke.edu/intensivelearning</w:t>
              </w:r>
            </w:hyperlink>
            <w:r w:rsidRPr="0097767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</w:tcPr>
          <w:p w14:paraId="139AD534" w14:textId="77777777" w:rsidR="00184997" w:rsidRDefault="00184997" w:rsidP="00184997"/>
        </w:tc>
        <w:tc>
          <w:tcPr>
            <w:tcW w:w="805" w:type="dxa"/>
          </w:tcPr>
          <w:p w14:paraId="35F1ECEE" w14:textId="77777777" w:rsidR="00184997" w:rsidRDefault="00184997" w:rsidP="00184997"/>
        </w:tc>
        <w:tc>
          <w:tcPr>
            <w:tcW w:w="805" w:type="dxa"/>
          </w:tcPr>
          <w:p w14:paraId="1A71E69E" w14:textId="0A8F3063" w:rsidR="00184997" w:rsidRDefault="00C23BDD" w:rsidP="00184997">
            <w:r w:rsidRPr="00C23BDD">
              <w:rPr>
                <w:color w:val="767171" w:themeColor="background2" w:themeShade="80"/>
                <w:sz w:val="16"/>
                <w:szCs w:val="16"/>
              </w:rPr>
              <w:t>Cannot transfer</w:t>
            </w:r>
          </w:p>
        </w:tc>
      </w:tr>
    </w:tbl>
    <w:p w14:paraId="6ED92BDB" w14:textId="77777777" w:rsidR="003E1A49" w:rsidRDefault="003E1A49" w:rsidP="002655C2">
      <w:pPr>
        <w:jc w:val="center"/>
        <w:rPr>
          <w:b/>
          <w:bCs/>
        </w:rPr>
      </w:pPr>
    </w:p>
    <w:p w14:paraId="3B269897" w14:textId="0E730D7D" w:rsidR="00FA0B1A" w:rsidRPr="002655C2" w:rsidRDefault="0097767B" w:rsidP="002655C2">
      <w:pPr>
        <w:jc w:val="center"/>
        <w:rPr>
          <w:b/>
          <w:bCs/>
        </w:rPr>
      </w:pPr>
      <w:r>
        <w:rPr>
          <w:b/>
          <w:bCs/>
        </w:rPr>
        <w:t>Being a world citizen</w:t>
      </w:r>
      <w:r w:rsidR="00FA0B1A" w:rsidRPr="002655C2">
        <w:rPr>
          <w:b/>
          <w:bCs/>
        </w:rPr>
        <w:t>: the Global Requirement</w:t>
      </w:r>
    </w:p>
    <w:p w14:paraId="23616947" w14:textId="08A416B2" w:rsidR="004A492E" w:rsidRDefault="004A492E" w:rsidP="002655C2">
      <w:pPr>
        <w:spacing w:after="0"/>
      </w:pPr>
      <w:r>
        <w:t>You must take a course marked with a “G” at the end of the number</w:t>
      </w:r>
      <w:r w:rsidR="00E10ADD">
        <w:t>, in the section notation</w:t>
      </w:r>
      <w:r>
        <w:t xml:space="preserve">. </w:t>
      </w:r>
    </w:p>
    <w:p w14:paraId="64459399" w14:textId="2829F49E" w:rsidR="004A492E" w:rsidRPr="004A492E" w:rsidRDefault="004A492E" w:rsidP="002655C2">
      <w:pPr>
        <w:spacing w:after="0"/>
        <w:rPr>
          <w:i/>
          <w:iCs/>
          <w:sz w:val="20"/>
          <w:szCs w:val="20"/>
        </w:rPr>
      </w:pPr>
      <w:r w:rsidRPr="004A492E">
        <w:rPr>
          <w:i/>
          <w:iCs/>
          <w:sz w:val="20"/>
          <w:szCs w:val="20"/>
        </w:rPr>
        <w:t>This course may be in INQ or in a Discipline. Please make sure it is marked with a G and do not assume it counts based on content or title</w:t>
      </w:r>
    </w:p>
    <w:p w14:paraId="4FF3FEF7" w14:textId="3CE78207" w:rsidR="004A492E" w:rsidRDefault="004A492E">
      <w:r>
        <w:t>Course: _______________________________</w:t>
      </w:r>
      <w:r w:rsidR="002655C2">
        <w:t xml:space="preserve"> (write </w:t>
      </w:r>
      <w:r w:rsidR="00183FE7">
        <w:t>course number in</w:t>
      </w:r>
      <w:r w:rsidR="002655C2">
        <w:t xml:space="preserve"> when you have taken the course)</w:t>
      </w:r>
    </w:p>
    <w:p w14:paraId="408960CE" w14:textId="77777777" w:rsidR="0083171B" w:rsidRDefault="0083171B" w:rsidP="0083171B">
      <w:pPr>
        <w:tabs>
          <w:tab w:val="right" w:pos="10224"/>
        </w:tabs>
        <w:jc w:val="right"/>
      </w:pPr>
    </w:p>
    <w:p w14:paraId="2E659E69" w14:textId="77777777" w:rsidR="0083171B" w:rsidRDefault="0083171B" w:rsidP="0083171B">
      <w:pPr>
        <w:tabs>
          <w:tab w:val="right" w:pos="10224"/>
        </w:tabs>
      </w:pPr>
    </w:p>
    <w:p w14:paraId="3531C213" w14:textId="7153941A" w:rsidR="00263CA1" w:rsidRDefault="00263CA1" w:rsidP="0083171B">
      <w:pPr>
        <w:tabs>
          <w:tab w:val="right" w:pos="10224"/>
        </w:tabs>
      </w:pPr>
      <w:r w:rsidRPr="0083171B">
        <w:br w:type="page"/>
      </w:r>
      <w:r w:rsidR="0083171B">
        <w:lastRenderedPageBreak/>
        <w:tab/>
      </w:r>
    </w:p>
    <w:p w14:paraId="376AC39A" w14:textId="4B6678B6" w:rsidR="00490657" w:rsidRDefault="00490657" w:rsidP="001467D9">
      <w:pPr>
        <w:spacing w:after="0"/>
        <w:jc w:val="center"/>
      </w:pPr>
      <w:r>
        <w:t xml:space="preserve">The remaining general education </w:t>
      </w:r>
      <w:r w:rsidR="00D24505">
        <w:t>requirements</w:t>
      </w:r>
      <w:r>
        <w:t xml:space="preserve"> are not labeled INQ</w:t>
      </w:r>
      <w:r w:rsidR="00D24505">
        <w:t>:</w:t>
      </w:r>
    </w:p>
    <w:p w14:paraId="249FF7C5" w14:textId="77777777" w:rsidR="001467D9" w:rsidRDefault="001467D9" w:rsidP="001467D9">
      <w:pPr>
        <w:spacing w:after="0"/>
        <w:jc w:val="center"/>
      </w:pPr>
    </w:p>
    <w:tbl>
      <w:tblPr>
        <w:tblStyle w:val="TableGrid"/>
        <w:tblW w:w="9890" w:type="dxa"/>
        <w:jc w:val="center"/>
        <w:tblLook w:val="04A0" w:firstRow="1" w:lastRow="0" w:firstColumn="1" w:lastColumn="0" w:noHBand="0" w:noVBand="1"/>
      </w:tblPr>
      <w:tblGrid>
        <w:gridCol w:w="7595"/>
        <w:gridCol w:w="850"/>
        <w:gridCol w:w="715"/>
        <w:gridCol w:w="730"/>
      </w:tblGrid>
      <w:tr w:rsidR="00C84B72" w14:paraId="6436D0DA" w14:textId="12466144" w:rsidTr="00C84B72">
        <w:trPr>
          <w:jc w:val="center"/>
        </w:trPr>
        <w:tc>
          <w:tcPr>
            <w:tcW w:w="9890" w:type="dxa"/>
            <w:gridSpan w:val="4"/>
          </w:tcPr>
          <w:p w14:paraId="44EDE90A" w14:textId="77777777" w:rsidR="00C84B72" w:rsidRDefault="00C84B72" w:rsidP="00680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Gaining cultural conversance: Foreign Language</w:t>
            </w:r>
          </w:p>
          <w:p w14:paraId="76120B35" w14:textId="77777777" w:rsidR="00C84B72" w:rsidRPr="00760AD4" w:rsidRDefault="00C84B72" w:rsidP="00D24505">
            <w:pPr>
              <w:rPr>
                <w:i/>
                <w:iCs/>
                <w:sz w:val="20"/>
                <w:szCs w:val="20"/>
              </w:rPr>
            </w:pPr>
            <w:r w:rsidRPr="00760AD4">
              <w:rPr>
                <w:i/>
                <w:iCs/>
                <w:sz w:val="20"/>
                <w:szCs w:val="20"/>
              </w:rPr>
              <w:t>Required through the 201 level. You may test out of specific courses or the whole requirement, either from having enough experience in coursework outside RC or by being a native speaker of a foreign language. To test out, you MUST meet with the chair of the Modern Languages Department.</w:t>
            </w:r>
          </w:p>
          <w:p w14:paraId="310E29A6" w14:textId="4DBDFE6F" w:rsidR="00C84B72" w:rsidRDefault="00C84B72" w:rsidP="006801BA">
            <w:pPr>
              <w:jc w:val="center"/>
              <w:rPr>
                <w:b/>
                <w:bCs/>
              </w:rPr>
            </w:pPr>
            <w:r w:rsidRPr="00760AD4">
              <w:rPr>
                <w:i/>
                <w:iCs/>
                <w:sz w:val="20"/>
                <w:szCs w:val="20"/>
              </w:rPr>
              <w:t>High-GPA students who would like to be eligible for consideration by PBK, the nation’s oldest honor society, should plan to take foreign language through the 202 level.</w:t>
            </w:r>
          </w:p>
        </w:tc>
      </w:tr>
      <w:tr w:rsidR="00C84B72" w:rsidRPr="00D24505" w14:paraId="0E2FA9FA" w14:textId="4AF93869" w:rsidTr="00C84B72">
        <w:trPr>
          <w:jc w:val="center"/>
        </w:trPr>
        <w:tc>
          <w:tcPr>
            <w:tcW w:w="7595" w:type="dxa"/>
          </w:tcPr>
          <w:p w14:paraId="1DAE280A" w14:textId="77777777" w:rsidR="00C84B72" w:rsidRPr="00D24505" w:rsidRDefault="00C84B72" w:rsidP="006801BA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Course Title</w:t>
            </w:r>
          </w:p>
        </w:tc>
        <w:tc>
          <w:tcPr>
            <w:tcW w:w="850" w:type="dxa"/>
          </w:tcPr>
          <w:p w14:paraId="3D42C4A0" w14:textId="77777777" w:rsidR="00C84B72" w:rsidRPr="00D24505" w:rsidRDefault="00C84B72" w:rsidP="006801BA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Taken</w:t>
            </w:r>
          </w:p>
        </w:tc>
        <w:tc>
          <w:tcPr>
            <w:tcW w:w="715" w:type="dxa"/>
          </w:tcPr>
          <w:p w14:paraId="457E026B" w14:textId="3B018EA6" w:rsidR="00C84B72" w:rsidRPr="00D24505" w:rsidRDefault="00C84B72" w:rsidP="006801BA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Sub</w:t>
            </w:r>
          </w:p>
        </w:tc>
        <w:tc>
          <w:tcPr>
            <w:tcW w:w="730" w:type="dxa"/>
          </w:tcPr>
          <w:p w14:paraId="55F5F7F3" w14:textId="7609C69C" w:rsidR="00C84B72" w:rsidRPr="00D24505" w:rsidRDefault="00C84B72" w:rsidP="006801B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Trnsfr</w:t>
            </w:r>
          </w:p>
        </w:tc>
      </w:tr>
      <w:tr w:rsidR="00C84B72" w14:paraId="16208FA8" w14:textId="53416C7D" w:rsidTr="00C84B72">
        <w:trPr>
          <w:jc w:val="center"/>
        </w:trPr>
        <w:tc>
          <w:tcPr>
            <w:tcW w:w="7595" w:type="dxa"/>
          </w:tcPr>
          <w:p w14:paraId="25F721ED" w14:textId="283A0181" w:rsidR="00C84B72" w:rsidRDefault="00C84B72" w:rsidP="006801BA">
            <w:r>
              <w:t>101 (if needed)</w:t>
            </w:r>
          </w:p>
        </w:tc>
        <w:tc>
          <w:tcPr>
            <w:tcW w:w="850" w:type="dxa"/>
          </w:tcPr>
          <w:p w14:paraId="14DD35B3" w14:textId="77777777" w:rsidR="00C84B72" w:rsidRDefault="00C84B72" w:rsidP="006801BA"/>
        </w:tc>
        <w:tc>
          <w:tcPr>
            <w:tcW w:w="715" w:type="dxa"/>
          </w:tcPr>
          <w:p w14:paraId="0561DB23" w14:textId="77777777" w:rsidR="00C84B72" w:rsidRDefault="00C84B72" w:rsidP="006801BA"/>
        </w:tc>
        <w:tc>
          <w:tcPr>
            <w:tcW w:w="730" w:type="dxa"/>
          </w:tcPr>
          <w:p w14:paraId="0FEBE183" w14:textId="77777777" w:rsidR="00C84B72" w:rsidRDefault="00C84B72" w:rsidP="006801BA"/>
        </w:tc>
      </w:tr>
      <w:tr w:rsidR="00C84B72" w14:paraId="7604D376" w14:textId="24B24DDA" w:rsidTr="00C84B72">
        <w:trPr>
          <w:jc w:val="center"/>
        </w:trPr>
        <w:tc>
          <w:tcPr>
            <w:tcW w:w="7595" w:type="dxa"/>
          </w:tcPr>
          <w:p w14:paraId="765418D0" w14:textId="0559E43A" w:rsidR="00C84B72" w:rsidRDefault="00C84B72" w:rsidP="006801BA">
            <w:r>
              <w:t>102/150 (if needed)</w:t>
            </w:r>
          </w:p>
        </w:tc>
        <w:tc>
          <w:tcPr>
            <w:tcW w:w="850" w:type="dxa"/>
          </w:tcPr>
          <w:p w14:paraId="1348DBC0" w14:textId="77777777" w:rsidR="00C84B72" w:rsidRDefault="00C84B72" w:rsidP="006801BA"/>
        </w:tc>
        <w:tc>
          <w:tcPr>
            <w:tcW w:w="715" w:type="dxa"/>
          </w:tcPr>
          <w:p w14:paraId="6D2315B6" w14:textId="77777777" w:rsidR="00C84B72" w:rsidRDefault="00C84B72" w:rsidP="006801BA"/>
        </w:tc>
        <w:tc>
          <w:tcPr>
            <w:tcW w:w="730" w:type="dxa"/>
          </w:tcPr>
          <w:p w14:paraId="67617305" w14:textId="77777777" w:rsidR="00C84B72" w:rsidRDefault="00C84B72" w:rsidP="006801BA"/>
        </w:tc>
      </w:tr>
      <w:tr w:rsidR="00C84B72" w14:paraId="0C276ADD" w14:textId="6E24ABF7" w:rsidTr="00C84B72">
        <w:trPr>
          <w:jc w:val="center"/>
        </w:trPr>
        <w:tc>
          <w:tcPr>
            <w:tcW w:w="7595" w:type="dxa"/>
          </w:tcPr>
          <w:p w14:paraId="449F227E" w14:textId="6557BA21" w:rsidR="00C84B72" w:rsidRDefault="00C84B72" w:rsidP="006801BA">
            <w:r>
              <w:t>201</w:t>
            </w:r>
          </w:p>
          <w:p w14:paraId="7C03FB3D" w14:textId="21E41236" w:rsidR="00C84B72" w:rsidRPr="00BD67CB" w:rsidRDefault="00C84B72" w:rsidP="5CEDA3AE">
            <w:pPr>
              <w:rPr>
                <w:i/>
                <w:sz w:val="20"/>
                <w:szCs w:val="20"/>
              </w:rPr>
            </w:pPr>
            <w:r w:rsidRPr="00BD67CB">
              <w:rPr>
                <w:i/>
                <w:sz w:val="20"/>
                <w:szCs w:val="20"/>
              </w:rPr>
              <w:t>Once you have taken this course, the language requirement will show as “complete” in Self Service’s Progress tab</w:t>
            </w:r>
          </w:p>
        </w:tc>
        <w:tc>
          <w:tcPr>
            <w:tcW w:w="850" w:type="dxa"/>
          </w:tcPr>
          <w:p w14:paraId="3FCA40B5" w14:textId="77777777" w:rsidR="00C84B72" w:rsidRDefault="00C84B72" w:rsidP="006801BA"/>
        </w:tc>
        <w:tc>
          <w:tcPr>
            <w:tcW w:w="715" w:type="dxa"/>
          </w:tcPr>
          <w:p w14:paraId="4D2128CF" w14:textId="77777777" w:rsidR="00C84B72" w:rsidRDefault="00C84B72" w:rsidP="006801BA"/>
        </w:tc>
        <w:tc>
          <w:tcPr>
            <w:tcW w:w="730" w:type="dxa"/>
          </w:tcPr>
          <w:p w14:paraId="0FE627CE" w14:textId="77777777" w:rsidR="00C84B72" w:rsidRDefault="00C84B72" w:rsidP="006801BA"/>
        </w:tc>
      </w:tr>
      <w:tr w:rsidR="00C84B72" w:rsidRPr="00D24505" w14:paraId="305FFE3F" w14:textId="4653FF73" w:rsidTr="00C84B72">
        <w:trPr>
          <w:jc w:val="center"/>
        </w:trPr>
        <w:tc>
          <w:tcPr>
            <w:tcW w:w="9890" w:type="dxa"/>
            <w:gridSpan w:val="4"/>
          </w:tcPr>
          <w:p w14:paraId="1F7BABE2" w14:textId="209CE229" w:rsidR="00C84B72" w:rsidRDefault="00C84B72" w:rsidP="00680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Supporting your health and wellness: HHP</w:t>
            </w:r>
          </w:p>
        </w:tc>
      </w:tr>
      <w:tr w:rsidR="00C84B72" w:rsidRPr="00D24505" w14:paraId="74356198" w14:textId="7D600436" w:rsidTr="00C84B72">
        <w:trPr>
          <w:jc w:val="center"/>
        </w:trPr>
        <w:tc>
          <w:tcPr>
            <w:tcW w:w="7595" w:type="dxa"/>
          </w:tcPr>
          <w:p w14:paraId="55988CE6" w14:textId="77777777" w:rsidR="00C84B72" w:rsidRPr="00D24505" w:rsidRDefault="00C84B72" w:rsidP="006801BA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Course Title</w:t>
            </w:r>
          </w:p>
        </w:tc>
        <w:tc>
          <w:tcPr>
            <w:tcW w:w="850" w:type="dxa"/>
          </w:tcPr>
          <w:p w14:paraId="58622C6B" w14:textId="77777777" w:rsidR="00C84B72" w:rsidRPr="00D24505" w:rsidRDefault="00C84B72" w:rsidP="006801BA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Taken</w:t>
            </w:r>
          </w:p>
        </w:tc>
        <w:tc>
          <w:tcPr>
            <w:tcW w:w="715" w:type="dxa"/>
          </w:tcPr>
          <w:p w14:paraId="494EEF0B" w14:textId="7A0D542B" w:rsidR="00C84B72" w:rsidRPr="00D24505" w:rsidRDefault="00C84B72" w:rsidP="006801BA">
            <w:pPr>
              <w:jc w:val="center"/>
              <w:rPr>
                <w:i/>
                <w:iCs/>
              </w:rPr>
            </w:pPr>
            <w:r w:rsidRPr="00D24505">
              <w:rPr>
                <w:i/>
                <w:iCs/>
              </w:rPr>
              <w:t>Sub</w:t>
            </w:r>
          </w:p>
        </w:tc>
        <w:tc>
          <w:tcPr>
            <w:tcW w:w="730" w:type="dxa"/>
          </w:tcPr>
          <w:p w14:paraId="678E951C" w14:textId="70154AE6" w:rsidR="00C84B72" w:rsidRPr="00C84B72" w:rsidRDefault="00C84B72" w:rsidP="006801BA">
            <w:pPr>
              <w:jc w:val="center"/>
              <w:rPr>
                <w:i/>
                <w:iCs/>
              </w:rPr>
            </w:pPr>
            <w:r w:rsidRPr="00C84B72">
              <w:rPr>
                <w:i/>
                <w:iCs/>
              </w:rPr>
              <w:t>Trnsfr</w:t>
            </w:r>
          </w:p>
        </w:tc>
      </w:tr>
      <w:tr w:rsidR="00C84B72" w14:paraId="39AFB3FD" w14:textId="568549BC" w:rsidTr="00C84B72">
        <w:trPr>
          <w:jc w:val="center"/>
        </w:trPr>
        <w:tc>
          <w:tcPr>
            <w:tcW w:w="7595" w:type="dxa"/>
          </w:tcPr>
          <w:p w14:paraId="6DA980D7" w14:textId="00D4A166" w:rsidR="00C84B72" w:rsidRDefault="00C84B72" w:rsidP="006801BA">
            <w:r>
              <w:t>HHP 160 (fitness for life)</w:t>
            </w:r>
          </w:p>
        </w:tc>
        <w:tc>
          <w:tcPr>
            <w:tcW w:w="850" w:type="dxa"/>
          </w:tcPr>
          <w:p w14:paraId="1AC09CA9" w14:textId="77777777" w:rsidR="00C84B72" w:rsidRDefault="00C84B72" w:rsidP="006801BA"/>
        </w:tc>
        <w:tc>
          <w:tcPr>
            <w:tcW w:w="715" w:type="dxa"/>
          </w:tcPr>
          <w:p w14:paraId="6A46D03D" w14:textId="77777777" w:rsidR="00C84B72" w:rsidRDefault="00C84B72" w:rsidP="006801BA"/>
        </w:tc>
        <w:tc>
          <w:tcPr>
            <w:tcW w:w="730" w:type="dxa"/>
          </w:tcPr>
          <w:p w14:paraId="526A951A" w14:textId="77777777" w:rsidR="00C84B72" w:rsidRDefault="00C84B72" w:rsidP="006801BA"/>
        </w:tc>
      </w:tr>
      <w:tr w:rsidR="00C84B72" w14:paraId="46B268F0" w14:textId="3773F641" w:rsidTr="00C84B72">
        <w:trPr>
          <w:jc w:val="center"/>
        </w:trPr>
        <w:tc>
          <w:tcPr>
            <w:tcW w:w="7595" w:type="dxa"/>
          </w:tcPr>
          <w:p w14:paraId="58B52458" w14:textId="768C5A4F" w:rsidR="00C84B72" w:rsidRDefault="00C84B72" w:rsidP="006801BA">
            <w:r>
              <w:t xml:space="preserve">HHP </w:t>
            </w:r>
            <w:r w:rsidR="005C3376">
              <w:t xml:space="preserve">lifetime </w:t>
            </w:r>
            <w:r>
              <w:t>activit</w:t>
            </w:r>
            <w:r w:rsidR="005C3376">
              <w:t>y</w:t>
            </w:r>
            <w:r>
              <w:t xml:space="preserve"> course</w:t>
            </w:r>
          </w:p>
          <w:p w14:paraId="1F2BCC6C" w14:textId="6377AF7A" w:rsidR="00C84B72" w:rsidRPr="00760AD4" w:rsidRDefault="005C3376" w:rsidP="006801B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Can only be taken after completion of HHP 160. </w:t>
            </w:r>
            <w:r w:rsidR="00C84B72" w:rsidRPr="00760AD4">
              <w:rPr>
                <w:i/>
                <w:iCs/>
                <w:sz w:val="20"/>
                <w:szCs w:val="20"/>
              </w:rPr>
              <w:t>Athletes, your sport counts for this credit</w:t>
            </w:r>
          </w:p>
        </w:tc>
        <w:tc>
          <w:tcPr>
            <w:tcW w:w="850" w:type="dxa"/>
          </w:tcPr>
          <w:p w14:paraId="6E4E1543" w14:textId="77777777" w:rsidR="00C84B72" w:rsidRDefault="00C84B72" w:rsidP="006801BA"/>
        </w:tc>
        <w:tc>
          <w:tcPr>
            <w:tcW w:w="715" w:type="dxa"/>
          </w:tcPr>
          <w:p w14:paraId="449296DD" w14:textId="77777777" w:rsidR="00C84B72" w:rsidRDefault="00C84B72" w:rsidP="006801BA"/>
        </w:tc>
        <w:tc>
          <w:tcPr>
            <w:tcW w:w="730" w:type="dxa"/>
          </w:tcPr>
          <w:p w14:paraId="76BADF6C" w14:textId="77777777" w:rsidR="00C84B72" w:rsidRDefault="00C84B72" w:rsidP="006801BA"/>
        </w:tc>
      </w:tr>
    </w:tbl>
    <w:p w14:paraId="47AA4B31" w14:textId="77777777" w:rsidR="00D24505" w:rsidRDefault="00D24505">
      <w:pPr>
        <w:pBdr>
          <w:bottom w:val="single" w:sz="12" w:space="1" w:color="auto"/>
        </w:pBdr>
      </w:pPr>
    </w:p>
    <w:p w14:paraId="31D6BD23" w14:textId="77777777" w:rsidR="003E1A49" w:rsidRDefault="003E1A49" w:rsidP="003E5DC5">
      <w:pPr>
        <w:jc w:val="center"/>
        <w:rPr>
          <w:b/>
          <w:bCs/>
        </w:rPr>
      </w:pPr>
    </w:p>
    <w:p w14:paraId="0461D1F3" w14:textId="5B5E86BF" w:rsidR="0097767B" w:rsidRDefault="00C022EF" w:rsidP="003E5DC5">
      <w:pPr>
        <w:jc w:val="center"/>
        <w:rPr>
          <w:b/>
          <w:bCs/>
        </w:rPr>
      </w:pPr>
      <w:r>
        <w:rPr>
          <w:b/>
          <w:bCs/>
        </w:rPr>
        <w:t>***</w:t>
      </w:r>
      <w:r w:rsidR="0097767B">
        <w:rPr>
          <w:b/>
          <w:bCs/>
        </w:rPr>
        <w:t>Some notes to help you check your progress</w:t>
      </w:r>
      <w:r>
        <w:rPr>
          <w:b/>
          <w:bCs/>
        </w:rPr>
        <w:t>***</w:t>
      </w:r>
    </w:p>
    <w:p w14:paraId="49170FC4" w14:textId="37BFFACB" w:rsidR="00C957CF" w:rsidRPr="004B0228" w:rsidRDefault="0097767B" w:rsidP="0097767B">
      <w:pPr>
        <w:rPr>
          <w:b/>
          <w:bCs/>
        </w:rPr>
      </w:pPr>
      <w:r>
        <w:rPr>
          <w:b/>
          <w:bCs/>
        </w:rPr>
        <w:t>T</w:t>
      </w:r>
      <w:r w:rsidR="00C957CF" w:rsidRPr="004B0228">
        <w:rPr>
          <w:b/>
          <w:bCs/>
        </w:rPr>
        <w:t>ransferring in courses on this checksheet</w:t>
      </w:r>
      <w:r w:rsidR="000D3F1B">
        <w:rPr>
          <w:b/>
          <w:bCs/>
        </w:rPr>
        <w:t xml:space="preserve"> from other institutions</w:t>
      </w:r>
    </w:p>
    <w:p w14:paraId="203761BD" w14:textId="7C0B50D5" w:rsidR="00912CB9" w:rsidRDefault="00912CB9" w:rsidP="00C957CF">
      <w:pPr>
        <w:pStyle w:val="ListParagraph"/>
        <w:numPr>
          <w:ilvl w:val="0"/>
          <w:numId w:val="1"/>
        </w:numPr>
      </w:pPr>
      <w:r>
        <w:t>I</w:t>
      </w:r>
      <w:r w:rsidR="00E42547">
        <w:t>f</w:t>
      </w:r>
      <w:r>
        <w:t xml:space="preserve"> you started here previous to Fall 2023 as a Freshman: you may only use three transfer courses as INQ 200 substitutions.</w:t>
      </w:r>
    </w:p>
    <w:p w14:paraId="0A92D8F6" w14:textId="0A81E432" w:rsidR="00F643D5" w:rsidRDefault="00C022EF" w:rsidP="00C957CF">
      <w:pPr>
        <w:pStyle w:val="ListParagraph"/>
        <w:numPr>
          <w:ilvl w:val="0"/>
          <w:numId w:val="1"/>
        </w:numPr>
      </w:pPr>
      <w:r>
        <w:t>IF you started here Fall 2023 or later</w:t>
      </w:r>
      <w:r w:rsidR="00912CB9">
        <w:t>, or if you started here as a transfer student at any time</w:t>
      </w:r>
      <w:r>
        <w:t xml:space="preserve">: </w:t>
      </w:r>
      <w:r w:rsidR="00816701">
        <w:t>Before you come to RC you might have taken a lot of college courses</w:t>
      </w:r>
      <w:r w:rsidR="00F643D5">
        <w:t>, or done dual enrollment, or taken AP exams</w:t>
      </w:r>
      <w:r w:rsidR="00816701">
        <w:t>. We’ll transfer</w:t>
      </w:r>
      <w:r w:rsidR="00F643D5">
        <w:t xml:space="preserve"> every eligible course we can into the INQ curriculum, without limit</w:t>
      </w:r>
      <w:r w:rsidR="000D3F1B">
        <w:t>, before you start here</w:t>
      </w:r>
      <w:r>
        <w:t xml:space="preserve"> </w:t>
      </w:r>
    </w:p>
    <w:p w14:paraId="00FAADF5" w14:textId="63D2B782" w:rsidR="009E21DD" w:rsidRDefault="009E21DD" w:rsidP="009E21DD">
      <w:pPr>
        <w:pStyle w:val="ListParagraph"/>
        <w:numPr>
          <w:ilvl w:val="1"/>
          <w:numId w:val="1"/>
        </w:numPr>
      </w:pPr>
      <w:r>
        <w:t xml:space="preserve">If you transfer in more than </w:t>
      </w:r>
      <w:r w:rsidR="00421D11">
        <w:t>two</w:t>
      </w:r>
      <w:r>
        <w:t xml:space="preserve"> 200-level courses, you will not be eligible </w:t>
      </w:r>
      <w:r w:rsidR="003E5DC5">
        <w:t>for disciplinary substitutions for your remaining INQ courses. They must be courses labeled INQ.</w:t>
      </w:r>
    </w:p>
    <w:p w14:paraId="2F82207F" w14:textId="16D3CDF3" w:rsidR="00F643D5" w:rsidRDefault="00C957CF" w:rsidP="009E21DD">
      <w:pPr>
        <w:pStyle w:val="ListParagraph"/>
        <w:numPr>
          <w:ilvl w:val="0"/>
          <w:numId w:val="1"/>
        </w:numPr>
      </w:pPr>
      <w:r>
        <w:t xml:space="preserve">Once you start at RC, you must fulfill your </w:t>
      </w:r>
      <w:r w:rsidR="00103CFE">
        <w:t>INQ courses with RC courses</w:t>
      </w:r>
      <w:r w:rsidR="009E21DD">
        <w:t xml:space="preserve"> and follow our substitution rules</w:t>
      </w:r>
      <w:r w:rsidR="00103CFE">
        <w:t xml:space="preserve">. Exceptions are made for study abroad – so </w:t>
      </w:r>
      <w:r w:rsidR="00BC7964">
        <w:t xml:space="preserve">do think about </w:t>
      </w:r>
      <w:r w:rsidR="00103CFE">
        <w:t>study</w:t>
      </w:r>
      <w:r w:rsidR="00BC7964">
        <w:t>ing</w:t>
      </w:r>
      <w:r w:rsidR="00103CFE">
        <w:t xml:space="preserve"> abroad</w:t>
      </w:r>
    </w:p>
    <w:p w14:paraId="1EDA98B9" w14:textId="7219E92F" w:rsidR="00103CFE" w:rsidRDefault="00103CFE" w:rsidP="00C957CF">
      <w:pPr>
        <w:pStyle w:val="ListParagraph"/>
        <w:numPr>
          <w:ilvl w:val="0"/>
          <w:numId w:val="1"/>
        </w:numPr>
      </w:pPr>
      <w:r>
        <w:t xml:space="preserve">Once you start at RC, all foreign language </w:t>
      </w:r>
      <w:r w:rsidR="00816701">
        <w:t>classes must be taken at RC to be credited</w:t>
      </w:r>
    </w:p>
    <w:p w14:paraId="3BCA65C7" w14:textId="1CCEEDBA" w:rsidR="0097767B" w:rsidRDefault="0097767B" w:rsidP="0097767B">
      <w:pPr>
        <w:rPr>
          <w:b/>
        </w:rPr>
      </w:pPr>
      <w:r>
        <w:rPr>
          <w:b/>
        </w:rPr>
        <w:t>Did you enroll in all the right classes? Ask yourself these questions: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75"/>
        <w:gridCol w:w="565"/>
        <w:gridCol w:w="510"/>
      </w:tblGrid>
      <w:tr w:rsidR="0097767B" w:rsidRPr="00EA3C81" w14:paraId="4CE47EA1" w14:textId="77777777" w:rsidTr="00512B6D">
        <w:trPr>
          <w:jc w:val="center"/>
        </w:trPr>
        <w:tc>
          <w:tcPr>
            <w:tcW w:w="8275" w:type="dxa"/>
          </w:tcPr>
          <w:p w14:paraId="285AFADA" w14:textId="77777777" w:rsidR="0097767B" w:rsidRPr="00EA3C81" w:rsidRDefault="0097767B" w:rsidP="0097767B">
            <w:pPr>
              <w:rPr>
                <w:bCs/>
              </w:rPr>
            </w:pPr>
          </w:p>
        </w:tc>
        <w:tc>
          <w:tcPr>
            <w:tcW w:w="565" w:type="dxa"/>
          </w:tcPr>
          <w:p w14:paraId="455657EF" w14:textId="2607124D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>YES</w:t>
            </w:r>
          </w:p>
        </w:tc>
        <w:tc>
          <w:tcPr>
            <w:tcW w:w="510" w:type="dxa"/>
          </w:tcPr>
          <w:p w14:paraId="1C784464" w14:textId="10A5B7DD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>NO</w:t>
            </w:r>
          </w:p>
        </w:tc>
      </w:tr>
      <w:tr w:rsidR="0097767B" w:rsidRPr="00EA3C81" w14:paraId="40A1B9D9" w14:textId="77777777" w:rsidTr="00512B6D">
        <w:trPr>
          <w:jc w:val="center"/>
        </w:trPr>
        <w:tc>
          <w:tcPr>
            <w:tcW w:w="8275" w:type="dxa"/>
          </w:tcPr>
          <w:p w14:paraId="142E831A" w14:textId="77777777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>Did you take at least one INQ 2xx course in each of the three colors?</w:t>
            </w:r>
          </w:p>
          <w:p w14:paraId="74DAB935" w14:textId="402B9CAA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  <w:i/>
                <w:sz w:val="16"/>
                <w:szCs w:val="16"/>
              </w:rPr>
              <w:t>If you started with more than 3 transfer courses, this number might be different – please check with your advisor</w:t>
            </w:r>
          </w:p>
        </w:tc>
        <w:tc>
          <w:tcPr>
            <w:tcW w:w="565" w:type="dxa"/>
          </w:tcPr>
          <w:p w14:paraId="0600147A" w14:textId="77777777" w:rsidR="0097767B" w:rsidRPr="00EA3C81" w:rsidRDefault="0097767B" w:rsidP="0097767B">
            <w:pPr>
              <w:rPr>
                <w:bCs/>
              </w:rPr>
            </w:pPr>
          </w:p>
        </w:tc>
        <w:tc>
          <w:tcPr>
            <w:tcW w:w="510" w:type="dxa"/>
          </w:tcPr>
          <w:p w14:paraId="4C1E474A" w14:textId="77777777" w:rsidR="0097767B" w:rsidRPr="00EA3C81" w:rsidRDefault="0097767B" w:rsidP="0097767B">
            <w:pPr>
              <w:rPr>
                <w:bCs/>
              </w:rPr>
            </w:pPr>
          </w:p>
        </w:tc>
      </w:tr>
      <w:tr w:rsidR="0014629E" w:rsidRPr="00EA3C81" w14:paraId="74346562" w14:textId="77777777" w:rsidTr="00512B6D">
        <w:trPr>
          <w:jc w:val="center"/>
        </w:trPr>
        <w:tc>
          <w:tcPr>
            <w:tcW w:w="8275" w:type="dxa"/>
          </w:tcPr>
          <w:p w14:paraId="45F0C910" w14:textId="3068223A" w:rsidR="0014629E" w:rsidRPr="00EA3C81" w:rsidRDefault="0014629E" w:rsidP="0097767B">
            <w:pPr>
              <w:rPr>
                <w:bCs/>
              </w:rPr>
            </w:pPr>
            <w:r>
              <w:rPr>
                <w:bCs/>
              </w:rPr>
              <w:t>If you started at RC previous to Fall 2023, did you take at least 4 INQs</w:t>
            </w:r>
            <w:r w:rsidR="001467D9">
              <w:rPr>
                <w:bCs/>
              </w:rPr>
              <w:t>?</w:t>
            </w:r>
          </w:p>
        </w:tc>
        <w:tc>
          <w:tcPr>
            <w:tcW w:w="565" w:type="dxa"/>
          </w:tcPr>
          <w:p w14:paraId="415E4720" w14:textId="77777777" w:rsidR="0014629E" w:rsidRPr="00EA3C81" w:rsidRDefault="0014629E" w:rsidP="0097767B">
            <w:pPr>
              <w:rPr>
                <w:bCs/>
              </w:rPr>
            </w:pPr>
          </w:p>
        </w:tc>
        <w:tc>
          <w:tcPr>
            <w:tcW w:w="510" w:type="dxa"/>
          </w:tcPr>
          <w:p w14:paraId="58DB6812" w14:textId="77777777" w:rsidR="0014629E" w:rsidRPr="00EA3C81" w:rsidRDefault="0014629E" w:rsidP="0097767B">
            <w:pPr>
              <w:rPr>
                <w:bCs/>
              </w:rPr>
            </w:pPr>
          </w:p>
        </w:tc>
      </w:tr>
      <w:tr w:rsidR="0097767B" w:rsidRPr="00EA3C81" w14:paraId="7CD0F781" w14:textId="77777777" w:rsidTr="00512B6D">
        <w:trPr>
          <w:jc w:val="center"/>
        </w:trPr>
        <w:tc>
          <w:tcPr>
            <w:tcW w:w="8275" w:type="dxa"/>
          </w:tcPr>
          <w:p w14:paraId="16341E22" w14:textId="63842586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 xml:space="preserve">If you started at RC </w:t>
            </w:r>
            <w:r w:rsidR="0014629E">
              <w:rPr>
                <w:bCs/>
              </w:rPr>
              <w:t>in Fall 2023 or la</w:t>
            </w:r>
            <w:r w:rsidR="001467D9">
              <w:rPr>
                <w:bCs/>
              </w:rPr>
              <w:t>t</w:t>
            </w:r>
            <w:r w:rsidR="0014629E">
              <w:rPr>
                <w:bCs/>
              </w:rPr>
              <w:t xml:space="preserve">er, </w:t>
            </w:r>
            <w:r w:rsidRPr="00EA3C81">
              <w:rPr>
                <w:bCs/>
              </w:rPr>
              <w:t>with 3 or fewer tran</w:t>
            </w:r>
            <w:r w:rsidR="009F622E">
              <w:rPr>
                <w:bCs/>
              </w:rPr>
              <w:t>s</w:t>
            </w:r>
            <w:r w:rsidRPr="00EA3C81">
              <w:rPr>
                <w:bCs/>
              </w:rPr>
              <w:t>fer courses, did you take at least 4 INQs?</w:t>
            </w:r>
          </w:p>
          <w:p w14:paraId="17639D1D" w14:textId="642600B8" w:rsidR="0097767B" w:rsidRPr="00EA3C81" w:rsidRDefault="0097767B" w:rsidP="0097767B">
            <w:pPr>
              <w:rPr>
                <w:bCs/>
                <w:i/>
                <w:sz w:val="16"/>
                <w:szCs w:val="16"/>
              </w:rPr>
            </w:pPr>
            <w:r w:rsidRPr="00EA3C81">
              <w:rPr>
                <w:bCs/>
                <w:i/>
                <w:sz w:val="16"/>
                <w:szCs w:val="16"/>
              </w:rPr>
              <w:t>If you started with more than 3 transfer courses, this number might be different – please check with your advisor</w:t>
            </w:r>
          </w:p>
        </w:tc>
        <w:tc>
          <w:tcPr>
            <w:tcW w:w="565" w:type="dxa"/>
          </w:tcPr>
          <w:p w14:paraId="638F2EDC" w14:textId="77777777" w:rsidR="0097767B" w:rsidRPr="00EA3C81" w:rsidRDefault="0097767B" w:rsidP="0097767B">
            <w:pPr>
              <w:rPr>
                <w:bCs/>
              </w:rPr>
            </w:pPr>
          </w:p>
        </w:tc>
        <w:tc>
          <w:tcPr>
            <w:tcW w:w="510" w:type="dxa"/>
          </w:tcPr>
          <w:p w14:paraId="07059926" w14:textId="77777777" w:rsidR="0097767B" w:rsidRPr="00EA3C81" w:rsidRDefault="0097767B" w:rsidP="0097767B">
            <w:pPr>
              <w:rPr>
                <w:bCs/>
              </w:rPr>
            </w:pPr>
          </w:p>
        </w:tc>
      </w:tr>
      <w:tr w:rsidR="0097767B" w:rsidRPr="00EA3C81" w14:paraId="15C89DBE" w14:textId="77777777" w:rsidTr="00512B6D">
        <w:trPr>
          <w:jc w:val="center"/>
        </w:trPr>
        <w:tc>
          <w:tcPr>
            <w:tcW w:w="8275" w:type="dxa"/>
          </w:tcPr>
          <w:p w14:paraId="317A3712" w14:textId="33E43CA2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>Did you finish your language through 201 OR get language competency from the Modern Languages department?</w:t>
            </w:r>
          </w:p>
        </w:tc>
        <w:tc>
          <w:tcPr>
            <w:tcW w:w="565" w:type="dxa"/>
          </w:tcPr>
          <w:p w14:paraId="389F8DBF" w14:textId="77777777" w:rsidR="0097767B" w:rsidRPr="00EA3C81" w:rsidRDefault="0097767B" w:rsidP="0097767B">
            <w:pPr>
              <w:rPr>
                <w:bCs/>
              </w:rPr>
            </w:pPr>
          </w:p>
        </w:tc>
        <w:tc>
          <w:tcPr>
            <w:tcW w:w="510" w:type="dxa"/>
          </w:tcPr>
          <w:p w14:paraId="5C0DBAEB" w14:textId="77777777" w:rsidR="0097767B" w:rsidRPr="00EA3C81" w:rsidRDefault="0097767B" w:rsidP="0097767B">
            <w:pPr>
              <w:rPr>
                <w:bCs/>
              </w:rPr>
            </w:pPr>
          </w:p>
        </w:tc>
      </w:tr>
      <w:tr w:rsidR="0097767B" w:rsidRPr="00EA3C81" w14:paraId="41ADC496" w14:textId="77777777" w:rsidTr="00512B6D">
        <w:trPr>
          <w:jc w:val="center"/>
        </w:trPr>
        <w:tc>
          <w:tcPr>
            <w:tcW w:w="8275" w:type="dxa"/>
          </w:tcPr>
          <w:p w14:paraId="77B4129C" w14:textId="2799A26B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>Do your INQ 260s (or INQ 260 + sub) come from different disciplines?</w:t>
            </w:r>
          </w:p>
        </w:tc>
        <w:tc>
          <w:tcPr>
            <w:tcW w:w="565" w:type="dxa"/>
          </w:tcPr>
          <w:p w14:paraId="523AE986" w14:textId="77777777" w:rsidR="0097767B" w:rsidRPr="00EA3C81" w:rsidRDefault="0097767B" w:rsidP="0097767B">
            <w:pPr>
              <w:rPr>
                <w:bCs/>
              </w:rPr>
            </w:pPr>
          </w:p>
        </w:tc>
        <w:tc>
          <w:tcPr>
            <w:tcW w:w="510" w:type="dxa"/>
          </w:tcPr>
          <w:p w14:paraId="391DA773" w14:textId="77777777" w:rsidR="0097767B" w:rsidRPr="00EA3C81" w:rsidRDefault="0097767B" w:rsidP="0097767B">
            <w:pPr>
              <w:rPr>
                <w:bCs/>
              </w:rPr>
            </w:pPr>
          </w:p>
        </w:tc>
      </w:tr>
      <w:tr w:rsidR="0097767B" w:rsidRPr="00EA3C81" w14:paraId="39BAB83F" w14:textId="77777777" w:rsidTr="00512B6D">
        <w:trPr>
          <w:jc w:val="center"/>
        </w:trPr>
        <w:tc>
          <w:tcPr>
            <w:tcW w:w="8275" w:type="dxa"/>
          </w:tcPr>
          <w:p w14:paraId="425B9837" w14:textId="2F1BE9DF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>Did you take a class MARKED “global”?</w:t>
            </w:r>
          </w:p>
        </w:tc>
        <w:tc>
          <w:tcPr>
            <w:tcW w:w="565" w:type="dxa"/>
          </w:tcPr>
          <w:p w14:paraId="4EEB5B22" w14:textId="77777777" w:rsidR="0097767B" w:rsidRPr="00EA3C81" w:rsidRDefault="0097767B" w:rsidP="0097767B">
            <w:pPr>
              <w:rPr>
                <w:bCs/>
              </w:rPr>
            </w:pPr>
          </w:p>
        </w:tc>
        <w:tc>
          <w:tcPr>
            <w:tcW w:w="510" w:type="dxa"/>
          </w:tcPr>
          <w:p w14:paraId="3614096F" w14:textId="77777777" w:rsidR="0097767B" w:rsidRPr="00EA3C81" w:rsidRDefault="0097767B" w:rsidP="0097767B">
            <w:pPr>
              <w:rPr>
                <w:bCs/>
              </w:rPr>
            </w:pPr>
          </w:p>
        </w:tc>
      </w:tr>
      <w:tr w:rsidR="0097767B" w:rsidRPr="00EA3C81" w14:paraId="7AFFCB13" w14:textId="77777777" w:rsidTr="00512B6D">
        <w:trPr>
          <w:jc w:val="center"/>
        </w:trPr>
        <w:tc>
          <w:tcPr>
            <w:tcW w:w="8275" w:type="dxa"/>
          </w:tcPr>
          <w:p w14:paraId="4B3B2952" w14:textId="4E6D48FF" w:rsidR="0097767B" w:rsidRPr="00EA3C81" w:rsidRDefault="0097767B" w:rsidP="0097767B">
            <w:pPr>
              <w:rPr>
                <w:bCs/>
              </w:rPr>
            </w:pPr>
            <w:r w:rsidRPr="00EA3C81">
              <w:rPr>
                <w:bCs/>
              </w:rPr>
              <w:t>Did you confirm this checksheet with your advisor?</w:t>
            </w:r>
          </w:p>
        </w:tc>
        <w:tc>
          <w:tcPr>
            <w:tcW w:w="565" w:type="dxa"/>
          </w:tcPr>
          <w:p w14:paraId="37ACFFDD" w14:textId="77777777" w:rsidR="0097767B" w:rsidRPr="00EA3C81" w:rsidRDefault="0097767B" w:rsidP="0097767B">
            <w:pPr>
              <w:rPr>
                <w:bCs/>
              </w:rPr>
            </w:pPr>
          </w:p>
        </w:tc>
        <w:tc>
          <w:tcPr>
            <w:tcW w:w="510" w:type="dxa"/>
          </w:tcPr>
          <w:p w14:paraId="02E0894C" w14:textId="77777777" w:rsidR="0097767B" w:rsidRPr="00EA3C81" w:rsidRDefault="0097767B" w:rsidP="0097767B">
            <w:pPr>
              <w:rPr>
                <w:bCs/>
              </w:rPr>
            </w:pPr>
          </w:p>
        </w:tc>
      </w:tr>
    </w:tbl>
    <w:p w14:paraId="4982B14A" w14:textId="77777777" w:rsidR="0097767B" w:rsidRPr="0097767B" w:rsidRDefault="0097767B" w:rsidP="00263CA1">
      <w:pPr>
        <w:rPr>
          <w:b/>
        </w:rPr>
      </w:pPr>
    </w:p>
    <w:sectPr w:rsidR="0097767B" w:rsidRPr="0097767B" w:rsidSect="002F7D40">
      <w:footerReference w:type="default" r:id="rId13"/>
      <w:pgSz w:w="12240" w:h="15840"/>
      <w:pgMar w:top="547" w:right="1008" w:bottom="288" w:left="1008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382E" w14:textId="77777777" w:rsidR="00FA08A5" w:rsidRDefault="00FA08A5" w:rsidP="00902B95">
      <w:pPr>
        <w:spacing w:after="0" w:line="240" w:lineRule="auto"/>
      </w:pPr>
      <w:r>
        <w:separator/>
      </w:r>
    </w:p>
  </w:endnote>
  <w:endnote w:type="continuationSeparator" w:id="0">
    <w:p w14:paraId="7BDE9E11" w14:textId="77777777" w:rsidR="00FA08A5" w:rsidRDefault="00FA08A5" w:rsidP="00902B95">
      <w:pPr>
        <w:spacing w:after="0" w:line="240" w:lineRule="auto"/>
      </w:pPr>
      <w:r>
        <w:continuationSeparator/>
      </w:r>
    </w:p>
  </w:endnote>
  <w:endnote w:type="continuationNotice" w:id="1">
    <w:p w14:paraId="3BA8F431" w14:textId="77777777" w:rsidR="00FA08A5" w:rsidRDefault="00FA0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B871" w14:textId="0410CFF5" w:rsidR="00902B95" w:rsidRPr="00902B95" w:rsidRDefault="00902B95" w:rsidP="00902B9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Ed. </w:t>
    </w:r>
    <w:r w:rsidR="0083171B">
      <w:rPr>
        <w:sz w:val="16"/>
        <w:szCs w:val="16"/>
      </w:rPr>
      <w:t>Nov</w:t>
    </w:r>
    <w:r w:rsidRPr="00902B95">
      <w:rPr>
        <w:sz w:val="16"/>
        <w:szCs w:val="16"/>
      </w:rPr>
      <w:t xml:space="preserve"> 202</w:t>
    </w:r>
    <w:r w:rsidR="0083171B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031D" w14:textId="77777777" w:rsidR="00FA08A5" w:rsidRDefault="00FA08A5" w:rsidP="00902B95">
      <w:pPr>
        <w:spacing w:after="0" w:line="240" w:lineRule="auto"/>
      </w:pPr>
      <w:r>
        <w:separator/>
      </w:r>
    </w:p>
  </w:footnote>
  <w:footnote w:type="continuationSeparator" w:id="0">
    <w:p w14:paraId="02C1B56A" w14:textId="77777777" w:rsidR="00FA08A5" w:rsidRDefault="00FA08A5" w:rsidP="00902B95">
      <w:pPr>
        <w:spacing w:after="0" w:line="240" w:lineRule="auto"/>
      </w:pPr>
      <w:r>
        <w:continuationSeparator/>
      </w:r>
    </w:p>
  </w:footnote>
  <w:footnote w:type="continuationNotice" w:id="1">
    <w:p w14:paraId="67D5B0F7" w14:textId="77777777" w:rsidR="00FA08A5" w:rsidRDefault="00FA08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2ED0"/>
    <w:multiLevelType w:val="hybridMultilevel"/>
    <w:tmpl w:val="0AA48F24"/>
    <w:lvl w:ilvl="0" w:tplc="506488A8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57"/>
    <w:rsid w:val="000377C3"/>
    <w:rsid w:val="000D3F1B"/>
    <w:rsid w:val="00103CFE"/>
    <w:rsid w:val="0014629E"/>
    <w:rsid w:val="001467D9"/>
    <w:rsid w:val="00152EAE"/>
    <w:rsid w:val="00183FE7"/>
    <w:rsid w:val="00184997"/>
    <w:rsid w:val="001A36B3"/>
    <w:rsid w:val="001D359F"/>
    <w:rsid w:val="002240BF"/>
    <w:rsid w:val="00263CA1"/>
    <w:rsid w:val="002655C2"/>
    <w:rsid w:val="002D76D5"/>
    <w:rsid w:val="002F7D40"/>
    <w:rsid w:val="0035515A"/>
    <w:rsid w:val="00377995"/>
    <w:rsid w:val="00395572"/>
    <w:rsid w:val="003E1A49"/>
    <w:rsid w:val="003E5DC5"/>
    <w:rsid w:val="003F117B"/>
    <w:rsid w:val="0040688D"/>
    <w:rsid w:val="00406C0E"/>
    <w:rsid w:val="004118C3"/>
    <w:rsid w:val="00421D11"/>
    <w:rsid w:val="00473B5D"/>
    <w:rsid w:val="00490657"/>
    <w:rsid w:val="004A492E"/>
    <w:rsid w:val="004B0228"/>
    <w:rsid w:val="00512B6D"/>
    <w:rsid w:val="00530F03"/>
    <w:rsid w:val="00534163"/>
    <w:rsid w:val="005C3376"/>
    <w:rsid w:val="005D3324"/>
    <w:rsid w:val="00636E62"/>
    <w:rsid w:val="00656A2A"/>
    <w:rsid w:val="00751257"/>
    <w:rsid w:val="00760AD4"/>
    <w:rsid w:val="00777D21"/>
    <w:rsid w:val="00816701"/>
    <w:rsid w:val="0083171B"/>
    <w:rsid w:val="008869E5"/>
    <w:rsid w:val="008D56E9"/>
    <w:rsid w:val="00902B95"/>
    <w:rsid w:val="00912CB9"/>
    <w:rsid w:val="00957DC9"/>
    <w:rsid w:val="0097767B"/>
    <w:rsid w:val="009A7032"/>
    <w:rsid w:val="009E21DD"/>
    <w:rsid w:val="009F622E"/>
    <w:rsid w:val="00A269CE"/>
    <w:rsid w:val="00AD271D"/>
    <w:rsid w:val="00AD5554"/>
    <w:rsid w:val="00B6320E"/>
    <w:rsid w:val="00BA77C9"/>
    <w:rsid w:val="00BB5881"/>
    <w:rsid w:val="00BC7964"/>
    <w:rsid w:val="00BD67CB"/>
    <w:rsid w:val="00C022EF"/>
    <w:rsid w:val="00C23BDD"/>
    <w:rsid w:val="00C84B72"/>
    <w:rsid w:val="00C86A60"/>
    <w:rsid w:val="00C957CF"/>
    <w:rsid w:val="00C9653B"/>
    <w:rsid w:val="00D24505"/>
    <w:rsid w:val="00D845A4"/>
    <w:rsid w:val="00DC34BC"/>
    <w:rsid w:val="00E10ADD"/>
    <w:rsid w:val="00E42547"/>
    <w:rsid w:val="00EA3C81"/>
    <w:rsid w:val="00ED1F30"/>
    <w:rsid w:val="00F077DD"/>
    <w:rsid w:val="00F555EB"/>
    <w:rsid w:val="00F643D5"/>
    <w:rsid w:val="00FA08A5"/>
    <w:rsid w:val="00FA0B1A"/>
    <w:rsid w:val="1544DE7D"/>
    <w:rsid w:val="1C6219C5"/>
    <w:rsid w:val="3CD615E8"/>
    <w:rsid w:val="489ADE6C"/>
    <w:rsid w:val="4CCE622D"/>
    <w:rsid w:val="513AA8A9"/>
    <w:rsid w:val="58F660B8"/>
    <w:rsid w:val="5CEDA3AE"/>
    <w:rsid w:val="738E015E"/>
    <w:rsid w:val="7E28A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F0B8E"/>
  <w15:chartTrackingRefBased/>
  <w15:docId w15:val="{71630910-5B43-44DA-A9A8-30C3C659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7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95"/>
  </w:style>
  <w:style w:type="paragraph" w:styleId="Footer">
    <w:name w:val="footer"/>
    <w:basedOn w:val="Normal"/>
    <w:link w:val="FooterChar"/>
    <w:uiPriority w:val="99"/>
    <w:unhideWhenUsed/>
    <w:rsid w:val="00902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95"/>
  </w:style>
  <w:style w:type="character" w:styleId="Hyperlink">
    <w:name w:val="Hyperlink"/>
    <w:basedOn w:val="DefaultParagraphFont"/>
    <w:uiPriority w:val="99"/>
    <w:unhideWhenUsed/>
    <w:rsid w:val="009776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oanoke.edu/intensivelear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lfservice.roanoke.edu/Student/Courses/Search?requirement=INQ.SUBS&amp;Subrequirement=23169&amp;requirementText=INQ-271%20Substitutio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elfservice.roanoke.edu/Student/Courses/Search?requirement=INQ.SUBS&amp;Subrequirement=23167&amp;requirementText=INQ-270%20Substitu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9fa73-ca46-4157-8310-8d7b73aa7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A8A7A587B1B4FBDCB4839A77DA165" ma:contentTypeVersion="16" ma:contentTypeDescription="Create a new document." ma:contentTypeScope="" ma:versionID="ee8f3a448d64fd76f066c675be9e76f3">
  <xsd:schema xmlns:xsd="http://www.w3.org/2001/XMLSchema" xmlns:xs="http://www.w3.org/2001/XMLSchema" xmlns:p="http://schemas.microsoft.com/office/2006/metadata/properties" xmlns:ns3="c659fa73-ca46-4157-8310-8d7b73aa7c1c" xmlns:ns4="5224ee22-7f34-4bd2-a0d1-36c35e12db03" targetNamespace="http://schemas.microsoft.com/office/2006/metadata/properties" ma:root="true" ma:fieldsID="cc6039097c95b2fc9bdb93b11d119efd" ns3:_="" ns4:_="">
    <xsd:import namespace="c659fa73-ca46-4157-8310-8d7b73aa7c1c"/>
    <xsd:import namespace="5224ee22-7f34-4bd2-a0d1-36c35e12d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9fa73-ca46-4157-8310-8d7b73aa7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e22-7f34-4bd2-a0d1-36c35e12d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A5660-3A68-442A-A36E-E3FC003F6466}">
  <ds:schemaRefs>
    <ds:schemaRef ds:uri="http://schemas.microsoft.com/office/2006/metadata/properties"/>
    <ds:schemaRef ds:uri="http://schemas.microsoft.com/office/infopath/2007/PartnerControls"/>
    <ds:schemaRef ds:uri="c659fa73-ca46-4157-8310-8d7b73aa7c1c"/>
  </ds:schemaRefs>
</ds:datastoreItem>
</file>

<file path=customXml/itemProps2.xml><?xml version="1.0" encoding="utf-8"?>
<ds:datastoreItem xmlns:ds="http://schemas.openxmlformats.org/officeDocument/2006/customXml" ds:itemID="{415A6D8D-E51F-494F-AE17-3394743A5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1B089-7A3F-4122-B02C-738FB1946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9fa73-ca46-4157-8310-8d7b73aa7c1c"/>
    <ds:schemaRef ds:uri="5224ee22-7f34-4bd2-a0d1-36c35e12d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5347</Characters>
  <Application>Microsoft Office Word</Application>
  <DocSecurity>0</DocSecurity>
  <Lines>213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Warden, Leslie</dc:creator>
  <cp:keywords/>
  <dc:description/>
  <cp:lastModifiedBy>Warden, Leslie</cp:lastModifiedBy>
  <cp:revision>4</cp:revision>
  <cp:lastPrinted>2024-08-27T16:16:00Z</cp:lastPrinted>
  <dcterms:created xsi:type="dcterms:W3CDTF">2025-11-17T16:35:00Z</dcterms:created>
  <dcterms:modified xsi:type="dcterms:W3CDTF">2025-11-17T16:49:00Z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0x0101007ECA8A7A587B1B4FBDCB4839A77DA165</vt:lpwstr>
  </property>
</Properties>
</file>